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jc w:val="right"/>
        <w:rPr/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keepNext w:val="true"/>
        <w:keepLine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департаментом экологической </w:t>
      </w:r>
    </w:p>
    <w:p>
      <w:pPr>
        <w:pStyle w:val="Normal"/>
        <w:keepNext w:val="true"/>
        <w:keepLines/>
        <w:jc w:val="right"/>
        <w:rPr/>
      </w:pPr>
      <w:r>
        <w:rPr>
          <w:rFonts w:ascii="Times New Roman" w:hAnsi="Times New Roman"/>
          <w:sz w:val="28"/>
          <w:szCs w:val="28"/>
        </w:rPr>
        <w:t>безопасности и природопользования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  <w:szCs w:val="28"/>
        </w:rPr>
        <w:t>Курской области</w:t>
      </w:r>
    </w:p>
    <w:p>
      <w:pPr>
        <w:pStyle w:val="Normal"/>
        <w:keepNext w:val="true"/>
        <w:keepLines/>
        <w:jc w:val="right"/>
        <w:rPr/>
      </w:pPr>
      <w:r>
        <w:rPr>
          <w:rFonts w:ascii="Times New Roman" w:hAnsi="Times New Roman"/>
          <w:sz w:val="28"/>
          <w:szCs w:val="28"/>
        </w:rPr>
        <w:t>от 21.01.2019 № 01-06/24</w:t>
      </w:r>
    </w:p>
    <w:p>
      <w:pPr>
        <w:pStyle w:val="Normal"/>
        <w:jc w:val="right"/>
        <w:rPr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c изменениями</w:t>
      </w:r>
    </w:p>
    <w:p>
      <w:pPr>
        <w:pStyle w:val="Style18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от 14.05.2019 </w:t>
      </w:r>
      <w:r>
        <w:rPr>
          <w:rFonts w:ascii="Times New Roman" w:hAnsi="Times New Roman"/>
          <w:caps/>
          <w:sz w:val="28"/>
          <w:szCs w:val="28"/>
        </w:rPr>
        <w:t xml:space="preserve">№ 01-06/183, </w:t>
      </w:r>
    </w:p>
    <w:p>
      <w:pPr>
        <w:pStyle w:val="Style18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18.12.2019 № 01-06/643,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09.06.2021 № 01-08/413)</w:t>
      </w:r>
    </w:p>
    <w:p>
      <w:pPr>
        <w:pStyle w:val="Normal"/>
        <w:rPr>
          <w:rFonts w:ascii="Times New Roman" w:hAnsi="Times New Roman" w:eastAsia="Times New Roman"/>
          <w:sz w:val="27"/>
        </w:rPr>
      </w:pPr>
      <w:r>
        <w:rPr>
          <w:rFonts w:eastAsia="Times New Roman" w:ascii="Times New Roman" w:hAnsi="Times New Roman"/>
          <w:sz w:val="27"/>
        </w:rPr>
      </w:r>
    </w:p>
    <w:p>
      <w:pPr>
        <w:pStyle w:val="ConsPlusTitle"/>
        <w:jc w:val="center"/>
        <w:rPr/>
      </w:pPr>
      <w:r>
        <w:rPr>
          <w:bCs/>
          <w:sz w:val="28"/>
          <w:szCs w:val="28"/>
          <w:lang w:val="ar-SA"/>
        </w:rPr>
        <w:t>АДМИНИСТРАТИВНЫЙ РЕГЛАМЕНТ</w:t>
      </w:r>
    </w:p>
    <w:p>
      <w:pPr>
        <w:pStyle w:val="ConsPlusTitle"/>
        <w:ind w:firstLine="709"/>
        <w:jc w:val="center"/>
        <w:rPr/>
      </w:pPr>
      <w:r>
        <w:rPr>
          <w:bCs/>
          <w:sz w:val="28"/>
          <w:szCs w:val="28"/>
          <w:lang w:val="ar-SA"/>
        </w:rPr>
        <w:t xml:space="preserve">предоставления комитетом природных ресурсов </w:t>
      </w:r>
    </w:p>
    <w:p>
      <w:pPr>
        <w:pStyle w:val="ConsPlusTitle"/>
        <w:ind w:firstLine="709"/>
        <w:jc w:val="center"/>
        <w:rPr/>
      </w:pPr>
      <w:r>
        <w:rPr>
          <w:bCs/>
          <w:sz w:val="28"/>
          <w:szCs w:val="28"/>
          <w:lang w:val="ar-SA"/>
        </w:rPr>
        <w:t>Курской области государственной услуги</w:t>
      </w:r>
    </w:p>
    <w:p>
      <w:pPr>
        <w:pStyle w:val="Normal"/>
        <w:ind w:left="-180" w:right="-232" w:hanging="0"/>
        <w:jc w:val="center"/>
        <w:rPr/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«Организация и проведение аукционов на право пользования </w:t>
      </w:r>
    </w:p>
    <w:p>
      <w:pPr>
        <w:pStyle w:val="ConsPlusTitle"/>
        <w:ind w:left="-180" w:right="-232" w:hanging="0"/>
        <w:jc w:val="center"/>
        <w:rPr/>
      </w:pPr>
      <w:bookmarkStart w:id="0" w:name="_Hlk45014828"/>
      <w:r>
        <w:rPr>
          <w:bCs/>
          <w:sz w:val="28"/>
          <w:szCs w:val="28"/>
          <w:lang w:val="ar-SA"/>
        </w:rPr>
        <w:t>участками недр местного значения на территории Курской области»</w:t>
      </w:r>
      <w:bookmarkEnd w:id="0"/>
      <w:r>
        <w:rPr>
          <w:bCs/>
          <w:sz w:val="28"/>
          <w:szCs w:val="28"/>
          <w:lang w:val="ar-SA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eastAsia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Normal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ind w:firstLine="709"/>
        <w:jc w:val="both"/>
        <w:rPr/>
      </w:pPr>
      <w:bookmarkStart w:id="1" w:name="_Hlk45014796"/>
      <w:bookmarkStart w:id="2" w:name="_Hlk45014846"/>
      <w:r>
        <w:rPr>
          <w:rFonts w:eastAsia="Times New Roman" w:ascii="Times New Roman" w:hAnsi="Times New Roman"/>
          <w:spacing w:val="-2"/>
          <w:sz w:val="28"/>
          <w:szCs w:val="28"/>
        </w:rPr>
        <w:t>Административный регламент</w:t>
      </w:r>
      <w:bookmarkEnd w:id="2"/>
      <w:r>
        <w:rPr>
          <w:rFonts w:eastAsia="Times New Roman" w:ascii="Times New Roman" w:hAnsi="Times New Roman"/>
          <w:spacing w:val="-2"/>
          <w:sz w:val="28"/>
          <w:szCs w:val="28"/>
        </w:rPr>
        <w:t xml:space="preserve"> предоставления государственной услуги «Организация и проведение аукционов на право пользования участками недр местного значения на территории Курской области»</w:t>
      </w:r>
      <w:bookmarkEnd w:id="1"/>
      <w:r>
        <w:rPr>
          <w:rFonts w:eastAsia="Times New Roman" w:ascii="Times New Roman" w:hAnsi="Times New Roman"/>
          <w:spacing w:val="-2"/>
          <w:sz w:val="28"/>
          <w:szCs w:val="28"/>
        </w:rPr>
        <w:t xml:space="preserve"> (далее – Административный регламент) устанавливает сроки и последовательность действий (административных услуг) при предоставлении государ</w:t>
      </w:r>
      <w:r>
        <w:rPr>
          <w:rFonts w:eastAsia="Times New Roman" w:ascii="Times New Roman" w:hAnsi="Times New Roman"/>
          <w:sz w:val="28"/>
          <w:szCs w:val="28"/>
        </w:rPr>
        <w:t>ственной услуги по организации и проведению аукционов на право пользования участками недр местного значения на территории Курской области (далее – государственная услуга).</w:t>
      </w:r>
    </w:p>
    <w:p>
      <w:pPr>
        <w:pStyle w:val="Normal"/>
        <w:tabs>
          <w:tab w:val="clear" w:pos="709"/>
          <w:tab w:val="left" w:pos="39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1.2. Круг заявителей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Заявителями являются заинтересованные в получении государственной услуги субъекты предпринимательской деятельности, в том числе участники простого товарищества, иностранные граждане, юридические лица и индивидуальные предприниматели, либо их уполномоченные представители.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1.3. Требования к порядку информирования о порядке предоставления государственной услуги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</w:t>
      </w:r>
      <w:r>
        <w:rPr>
          <w:rFonts w:ascii="Times New Roman" w:hAnsi="Times New Roman"/>
          <w:b/>
          <w:sz w:val="28"/>
          <w:szCs w:val="28"/>
        </w:rPr>
        <w:t xml:space="preserve">в том числе на официальном сайте органа исполнительной власти Курской области, являющегося разработчиком регламента, на официальном сайте Администрации Курской области, в сети </w:t>
      </w:r>
      <w:r>
        <w:rPr>
          <w:rFonts w:eastAsia="Calibri"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eastAsia="Calibri"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в федеральной государственной информационной системе </w:t>
      </w:r>
      <w:r>
        <w:rPr>
          <w:rFonts w:eastAsia="Calibri"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Единый портал государственных и муниципальных услуг (функций)</w:t>
      </w:r>
      <w:r>
        <w:rPr>
          <w:rFonts w:eastAsia="Calibri"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(далее – Единый портал)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Информирование заявителей по вопросам предоставления  государственной услуги «Организация и проведение аукционов на право пользования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 xml:space="preserve">участками недр местного значения на территории Курской области», в том числе о ходе предоставления государственной услуги, проводится путем устного информирования, письменного информирования (в том числе в электронной форме).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Информирование заявителей организуется следующим образом: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индивидуальное информирование (устное, письменное);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Индивидуальное устное информирование осуществляется специалистами комитета природных ресурсов Курской области (далее – комитет) при обращении заявителей за информацией лично (в том числе по телефону).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График работы комитета, график личного приема заявителей размещается в информационно-телекоммуникационной сети «Интернет» на официальном сайте комитета и на информационном стенде.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–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</w:t>
      </w:r>
      <w:r>
        <w:rPr>
          <w:rFonts w:eastAsia="Times New Roman" w:ascii="Times New Roman" w:hAnsi="Times New Roman"/>
          <w:sz w:val="28"/>
          <w:szCs w:val="28"/>
        </w:rPr>
        <w:t>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При ответах на телефонные звонки и устные обращения специалисты соблюдают правила служебной этики.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председателя комитета либо заместителя председателя комитета.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</w:rPr>
        <w:t>со дня регистрации заявления</w:t>
      </w:r>
      <w:r>
        <w:rPr>
          <w:rFonts w:eastAsia="Times New Roman" w:ascii="Times New Roman" w:hAnsi="Times New Roman"/>
          <w:sz w:val="28"/>
          <w:szCs w:val="28"/>
        </w:rPr>
        <w:t xml:space="preserve"> в системе электронного документооборота «Дело». </w:t>
      </w:r>
      <w:r>
        <w:rPr>
          <w:rFonts w:ascii="Times New Roman" w:hAnsi="Times New Roman"/>
          <w:sz w:val="28"/>
          <w:szCs w:val="28"/>
        </w:rPr>
        <w:t>Максимально допустимый срок регистрации письменного заявления в системе электронного документооборота «Дело» составляет 1 рабочий день со дня обращения заявителя. Регистрация заявления, в том числе в электронной форме, осуществляется путем присвоения входящего номера с указанием даты его получения.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Ответ на заявление, поступившее в комитет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информационно-телекоммуникационной сети «Интернет».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портал), на официальном сайте комитета </w:t>
      </w:r>
      <w:r>
        <w:rPr>
          <w:rFonts w:eastAsia="Times New Roman" w:ascii="Times New Roman" w:hAnsi="Times New Roman"/>
          <w:sz w:val="28"/>
          <w:szCs w:val="28"/>
          <w:lang w:val="en-US"/>
        </w:rPr>
        <w:t>http</w:t>
      </w:r>
      <w:r>
        <w:rPr>
          <w:rFonts w:eastAsia="Times New Roman" w:ascii="Times New Roman" w:hAnsi="Times New Roman"/>
          <w:sz w:val="28"/>
          <w:szCs w:val="28"/>
        </w:rPr>
        <w:t>://</w:t>
      </w:r>
      <w:r>
        <w:rPr>
          <w:rFonts w:eastAsia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Times New Roman" w:ascii="Times New Roman" w:hAnsi="Times New Roman"/>
          <w:sz w:val="28"/>
          <w:szCs w:val="28"/>
        </w:rPr>
        <w:t>.</w:t>
      </w:r>
      <w:r>
        <w:rPr>
          <w:rFonts w:eastAsia="Times New Roman" w:ascii="Times New Roman" w:hAnsi="Times New Roman"/>
          <w:sz w:val="28"/>
          <w:szCs w:val="28"/>
          <w:lang w:val="en-US"/>
        </w:rPr>
        <w:t>ecolog</w:t>
      </w:r>
      <w:r>
        <w:rPr>
          <w:rFonts w:eastAsia="Times New Roman" w:ascii="Times New Roman" w:hAnsi="Times New Roman"/>
          <w:sz w:val="28"/>
          <w:szCs w:val="28"/>
        </w:rPr>
        <w:t>46.</w:t>
      </w:r>
      <w:r>
        <w:rPr>
          <w:rFonts w:eastAsia="Times New Roman" w:ascii="Times New Roman" w:hAnsi="Times New Roman"/>
          <w:sz w:val="28"/>
          <w:szCs w:val="28"/>
          <w:lang w:val="en-US"/>
        </w:rPr>
        <w:t>ru</w:t>
      </w:r>
      <w:r>
        <w:rPr>
          <w:rFonts w:eastAsia="Times New Roman" w:ascii="Times New Roman" w:hAnsi="Times New Roman"/>
          <w:sz w:val="28"/>
          <w:szCs w:val="28"/>
        </w:rPr>
        <w:t xml:space="preserve"> в сети «Интернет» можно получить информацию: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круге заявителей;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сроке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результате предоставления государственной услуги, порядок выдачи результата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размере государственной пошлины, взимаемой за предоставление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 исчерпывающем перечне оснований для приостановления предоставления государственной услуги или отказа в предоставлении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Информация о государственной услуге предоставляется бесплатно.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>
      <w:pPr>
        <w:pStyle w:val="Normal"/>
        <w:tabs>
          <w:tab w:val="clear" w:pos="709"/>
          <w:tab w:val="left" w:pos="156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 информационных стендах в помещении, предназначенном для предоставления государственной услуги, размещается следующая информация: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краткое описание порядка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комитета в информационно-телекоммуникационной сети «Интернет»);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перечни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порядок обжалования решения, действий или бездействия должностных лиц, предоставляющих государственную услугу;</w:t>
      </w:r>
    </w:p>
    <w:p>
      <w:pPr>
        <w:pStyle w:val="Normal"/>
        <w:tabs>
          <w:tab w:val="clear" w:pos="709"/>
          <w:tab w:val="left" w:pos="72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основания для отказа в предоставлении государственной услуги;</w:t>
      </w:r>
    </w:p>
    <w:p>
      <w:pPr>
        <w:pStyle w:val="Normal"/>
        <w:tabs>
          <w:tab w:val="clear" w:pos="709"/>
          <w:tab w:val="left" w:pos="72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основания для приостановления предоставления государственной услуги;</w:t>
      </w:r>
    </w:p>
    <w:p>
      <w:pPr>
        <w:pStyle w:val="Normal"/>
        <w:tabs>
          <w:tab w:val="clear" w:pos="709"/>
          <w:tab w:val="left" w:pos="72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порядок информирования о ходе предоставления государственной услуги;</w:t>
      </w:r>
    </w:p>
    <w:p>
      <w:pPr>
        <w:pStyle w:val="Normal"/>
        <w:tabs>
          <w:tab w:val="clear" w:pos="709"/>
          <w:tab w:val="left" w:pos="720" w:leader="none"/>
          <w:tab w:val="left" w:pos="156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порядок получения консультаций;</w:t>
      </w:r>
    </w:p>
    <w:p>
      <w:pPr>
        <w:pStyle w:val="Normal"/>
        <w:tabs>
          <w:tab w:val="clear" w:pos="709"/>
          <w:tab w:val="left" w:pos="72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образцы оформления документов, необходимых для предоставления государственной услуги, и требования к ним.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>
      <w:pPr>
        <w:pStyle w:val="Normal"/>
        <w:ind w:firstLine="709"/>
        <w:jc w:val="both"/>
        <w:rPr/>
      </w:pPr>
      <w:r>
        <w:rPr>
          <w:rFonts w:eastAsia="SimSun"/>
          <w:sz w:val="28"/>
          <w:szCs w:val="28"/>
          <w:lang w:eastAsia="zh-CN"/>
        </w:rPr>
        <w:t>Комитет обеспечивает размещение и актуализацию справочной информации в установленном порядке на своем официальном сайте, на официальном сайте Администрации Курской области в сети «Интернет», а также в соответствующем разделе региональной информационной системе «Реестр государственных и муниципальных услуг (функций) Курской области» (далее - региональный реестр) и на Едином портале.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eastAsia="Times New Roman" w:ascii="Times New Roman" w:hAnsi="Times New Roman"/>
          <w:b/>
          <w:sz w:val="28"/>
          <w:szCs w:val="28"/>
        </w:rPr>
        <w:t>. Стандарт предоставления государственной услуги</w:t>
      </w:r>
    </w:p>
    <w:p>
      <w:pPr>
        <w:pStyle w:val="Normal"/>
        <w:ind w:firstLine="7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2.1. Наименование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«Организация и проведение аукционов на право пользования участками недр местного значения на территории Курской области».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2.2</w:t>
      </w:r>
      <w:r>
        <w:rPr>
          <w:rFonts w:eastAsia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ascii="Times New Roman" w:hAnsi="Times New Roman"/>
          <w:b/>
          <w:sz w:val="28"/>
          <w:szCs w:val="28"/>
        </w:rPr>
        <w:t>Наименование органа, предоставляющего государственную услугу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Государственная услуга предоставляется комитетом природных ресурсов Курской области.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предоставлении государственной услуги участвует Управление федеральной налоговой службы по Курской области в случае непредставления заявителем самостоятельно документов (сведений), указанных в пункте 2.7. настоящего 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2.3.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</w:rPr>
        <w:t>Описание результата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Результатом предоставления государственной услуги является принятие решений: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 утверждении результатов аукциона и признании победителя указанного аукциона с наделением его правом пользования соответствующим участком недр;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признании аукциона несостоявшимся по основаниям, указанным в подпункте 28.8 настоящего Административного регламента;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 отмене аукциона, если выявлены при его проведении нарушения законодательства (в том числе нарушения условий и порядка проведения аукциона), а также на основании судебных актов о признании недействительным решения о проведении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>
      <w:pPr>
        <w:pStyle w:val="Normal"/>
        <w:tabs>
          <w:tab w:val="clear" w:pos="709"/>
          <w:tab w:val="left" w:pos="18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Общий срок предоставления комитетом государственной услуги составляет без учета обстоятельств, препятствующих проведению аукционов (обстоятельств непреодолимой силы, то есть чрезвычайных и непредотвратимых при данных условиях обстоятельств, а также отсутствия кворума для заседания аукционной комиссии), составляет не менее 75 календарных дней с даты регистрации заявок от потенциальных недропользователей в системе электронного делопроизводства «Дело». </w:t>
      </w:r>
    </w:p>
    <w:p>
      <w:pPr>
        <w:pStyle w:val="Normal"/>
        <w:tabs>
          <w:tab w:val="clear" w:pos="709"/>
          <w:tab w:val="left" w:pos="2326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Данный срок увеличивается на срок действия обстоятельств, препятствующих проведению аукционов, но не более чем на 7 рабочих дней, в порядке, предусмотренном подпунктами 3.1.8 – 3.1.10 пункта 3.1 настоящего Административного регламента.</w:t>
      </w:r>
    </w:p>
    <w:p>
      <w:pPr>
        <w:pStyle w:val="ConsPlusNormal"/>
        <w:tabs>
          <w:tab w:val="clear" w:pos="709"/>
          <w:tab w:val="left" w:pos="2326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Срок выдачи (направления) документов, являющихся результатом предоставления государственной услуги – 10 календарных дней с даты утверждения протокола о результатах аукциона на право пользования участком недр местного значения.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комитета, на официальном сайте Администрации Курской области в сети «Интернет», а также в соответствующем разделе регионального реестра и на Едином портале.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2.6.1. Для получения государственной услуги заявитель представляет в комитет заявку, содержащую сведения, указанные в приложении №1 к настоящему Административному регламенту.</w:t>
      </w:r>
    </w:p>
    <w:p>
      <w:pPr>
        <w:pStyle w:val="Normal"/>
        <w:tabs>
          <w:tab w:val="left" w:pos="7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Заявка на участие в аукционе составляется в двух экземплярах. Заявки на участие в аукционе заполняются машинописным способом и распечатываются посредством электронных печатающих устройств.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 заявке в запечатанном конверте прилагаются: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1) данные о заявителе: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</w:rPr>
        <w:t>наименование, организационно-правовая форма и место нахождения – для юридического лица;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фамилия, имя, отчество (при наличии), место жительства, данные документа, удостоверяющего личность, – для индивидуального предпринимателя;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копии учредительных документов (для юридических лиц);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свидетельства о государственной регистрации заявителя в органах статистики;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сведения о хозяйственных взаимоотношениях с основными финансовыми и производственными партнерами (в произвольной форме);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2) данные о структуре управления, собственниках, учредителях, акционерах (для акционерных обществ), руководителях заявителя и лицах, которые представляют его при участии в аукционе: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решения уполномоченных органов управления заявителя о назначении единоличного исполнительного органа организации – для юридического лица;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доверенность, выданная в установленном порядке (в случае, если интересы заявителя представляются лицом, не имеющим право без доверенности представлять интересы заявителя);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выписка из реестра акционеров заявителя, полученную (оформленную) не ранее, чем за один месяц до даты подачи заявки на участие в аукционе, – для акционерного общества;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3) данные о финансовых возможностях заявителя, необходимых для выполнения работ, связанных с намечаемым пользованием недрами, включая документальные данные о наличии собственных и/или привлеченных средств: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заключения аудиторской проверки финансово-хозяйственной деятельности заявителя за предыдущий год, если в соответствии с федеральными законами заявитель подлежит обязательному аудиту;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справки из банковских учреждений о движении денежных средств по счетам заявителя в течение месяца, предшествующего дате подачи заявки на участие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договоры займа или кредита, вступившие в силу на дату подачи заявки,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(копии бухгалтерских балансов кредитора за год, предшествующий подаче заявки, и за последний отчетный период с отметкой налогового органа о его принятии);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4) данные о технических, технологических и кадровых возможностях заявителя, а также других предприятий, привлекаемых им в качестве подрядчиков: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подписанные уполномоченным лицом заявителя справка о применяемых технологиях с их описанием и перечень технических средств, необходимых для проведения работ, с доказательством их принадлежности заявителю либо подрядчику (копии свидетельств о государственной регистрации права на недвижимое имущество, договоров, актов приема-передачи);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копии подрядных договоров со сторонними организациями, привлекаемыми в качестве подрядчиков;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сведения о кадровом составе заявителя, квалифицированных специалистах, которые будут непосредственно осуществлять работы по освоению участка недр (копия штатного расписания заявителя, копии дипломов квалифицированных специалистов), технических средствах и технологиях, необходимых для безопасного и эффективного проведения работ;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5) данные о предыдущей деятельности заявителя, основные сведения о проектах по освоению месторождений (участков недр), выполненных заявителем за последние 5 лет (для заявителей, осуществлявших до подачи заявки деятельность, связанную с пользованием недрами), в том числе: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сведения о полученных лицензиях на право пользования недрами и выполнении условий лицензионных соглашений.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Документы, приведенные в настоящем пункте, подписываются уполномоченным лицом заявителя (копии – заверяются), прошиваются, нумеруются, скрепляются печатью (при наличии) заявителя и запечатываются в конверт, в который вкладывается оформленная на бумаге опись документов.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Также при подаче заявки на участие в аукционе заявитель представляет в комитет документы, подтверждающие оплату задатка и сбора за участие в аукционе.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Если заявка подается от простого товарищества, то сведения предоставляются на каждого участника простого товарищества, а также прилагается нотариально заверенная копия договора о совместной деятельности простого товарищества.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Копии документов представляются заверенными подписью и печатью заявителя (при наличии).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Заявитель несет ответственность за достоверность представленных сведений в соответствии с законодательством Российской Федерации.</w:t>
      </w:r>
    </w:p>
    <w:p>
      <w:pPr>
        <w:pStyle w:val="Normal"/>
        <w:tabs>
          <w:tab w:val="clear" w:pos="709"/>
          <w:tab w:val="left" w:pos="2106" w:leader="none"/>
          <w:tab w:val="left" w:pos="2496" w:leader="none"/>
          <w:tab w:val="left" w:pos="4992" w:leader="none"/>
          <w:tab w:val="left" w:pos="7644" w:leader="none"/>
          <w:tab w:val="left" w:pos="7878" w:leader="none"/>
        </w:tabs>
        <w:ind w:firstLine="709"/>
        <w:jc w:val="both"/>
        <w:rPr/>
      </w:pPr>
      <w:r>
        <w:rPr>
          <w:rFonts w:eastAsia="Times New Roman" w:ascii="Times New Roman" w:hAnsi="Times New Roman"/>
          <w:spacing w:val="-1"/>
          <w:sz w:val="28"/>
          <w:szCs w:val="28"/>
        </w:rPr>
        <w:t xml:space="preserve">Требовать от заявителя предоставления документов, не указанных в пунктах 1, 2 настоящего приложения к Административному регламенту, не допускается. 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2.7.1. Комитетом в установленном порядке и сроки с использованием единой системы межведомственного электронного взаимодействия запрашиваются сведения (документы) необходимые для предоставления государственной услуги в Управлении Федеральной налоговой службы по Курской области: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документа, подтверждающего факт внесения записи о юридическом лице в Единый государственный реестр юридических лиц (для юридических лиц);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свидетельства о государственной регистрации юридического лица;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копия свидетельства о постановке заявителя на учет в налоговом органе;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выписка из Единого государственного реестра юридических лиц, полученная не ранее чем за один месяц до даты подачи заявки на участие в аукционе, – для юридического лица;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 – для индивидуального предпринимателя;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справка налогового органа о задолженности (об отсутствии задолженности) заявителя по налоговым платежам в бюджеты различных уровней;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2.7.2. Документы, указанные в подпункте 2.7.1., заявитель вправе представить по собственной инициативе.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2.7.3. Непредставление (несвоевременное представление) органом или организацией по межведомственному запросу документов, указанных в подпункте 2.7.1., которые находятся в распоряжении соответствующих органов либо организации, предоставляющих государственные услуги в комитет не может являться основанием для отказа в предоставлении заявителю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2.8. Указание на запрет требовать от заявителя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Комитет не вправе требовать от заявителя: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</w:t>
      </w:r>
      <w:r>
        <w:rPr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/>
      </w:pPr>
      <w:bookmarkStart w:id="3" w:name="dst159"/>
      <w:bookmarkStart w:id="4" w:name="dst37"/>
      <w:bookmarkEnd w:id="3"/>
      <w:bookmarkEnd w:id="4"/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</w:t>
      </w:r>
      <w:r>
        <w:rPr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которые находятся в распоряжении комитета, либо подведомственных комитету организаций, участвующих в предоставлении предусмотренных</w:t>
      </w:r>
      <w:r>
        <w:rPr>
          <w:rFonts w:eastAsia="Times New Roman"/>
          <w:sz w:val="28"/>
          <w:szCs w:val="28"/>
        </w:rPr>
        <w:t> </w:t>
      </w:r>
      <w:r>
        <w:fldChar w:fldCharType="begin"/>
      </w:r>
      <w:r>
        <w:rPr>
          <w:rStyle w:val="Style"/>
          <w:sz w:val="28"/>
          <w:szCs w:val="28"/>
          <w:rFonts w:ascii="Times New Roman" w:hAnsi="Times New Roman"/>
        </w:rPr>
        <w:instrText> HYPERLINK "http://www.consultant.ru/document/cons_doc_LAW_355880/d44bdb356e6a691d0c72fef05ed16f68af0af9eb/" \l "dst100010"</w:instrText>
      </w:r>
      <w:r>
        <w:rPr>
          <w:rStyle w:val="Style"/>
          <w:sz w:val="28"/>
          <w:szCs w:val="28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sz w:val="28"/>
          <w:szCs w:val="28"/>
        </w:rPr>
        <w:t>частью 1 статьи 1</w:t>
      </w:r>
      <w:r>
        <w:rPr>
          <w:rStyle w:val="Style"/>
          <w:sz w:val="28"/>
          <w:szCs w:val="28"/>
          <w:rFonts w:ascii="Times New Roman" w:hAnsi="Times New Roman"/>
        </w:rPr>
        <w:fldChar w:fldCharType="end"/>
      </w:r>
      <w:r>
        <w:rPr>
          <w:rFonts w:eastAsia="Times New Roman"/>
          <w:sz w:val="28"/>
          <w:szCs w:val="28"/>
        </w:rPr>
        <w:t xml:space="preserve"> Федерального закона </w:t>
      </w:r>
      <w:r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</w:t>
      </w:r>
      <w:r>
        <w:rPr>
          <w:rFonts w:eastAsia="Times New Roman"/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</w:t>
      </w:r>
      <w:r>
        <w:rPr>
          <w:sz w:val="28"/>
          <w:szCs w:val="28"/>
        </w:rPr>
        <w:t xml:space="preserve"> № 210-ФЗ)</w:t>
      </w:r>
      <w:r>
        <w:rPr>
          <w:rFonts w:ascii="Times New Roman" w:hAnsi="Times New Roman"/>
          <w:sz w:val="28"/>
          <w:szCs w:val="28"/>
        </w:rPr>
        <w:t>, в соответствии с нормативными правовыми</w:t>
      </w:r>
      <w:r>
        <w:rPr>
          <w:rFonts w:eastAsia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актами</w:t>
      </w:r>
      <w:r>
        <w:rPr>
          <w:rFonts w:eastAsia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Российской Федерации, нормативными правовыми актами субъектов Российской Федерации, за исключением документов, включенных в определенный</w:t>
      </w:r>
      <w:r>
        <w:rPr>
          <w:rFonts w:eastAsia="Times New Roman"/>
          <w:sz w:val="28"/>
          <w:szCs w:val="28"/>
        </w:rPr>
        <w:t> </w:t>
      </w:r>
      <w:r>
        <w:fldChar w:fldCharType="begin"/>
      </w:r>
      <w:r>
        <w:rPr>
          <w:rStyle w:val="Style"/>
          <w:sz w:val="28"/>
          <w:szCs w:val="28"/>
          <w:rFonts w:ascii="Times New Roman" w:hAnsi="Times New Roman"/>
        </w:rPr>
        <w:instrText> HYPERLINK "http://www.consultant.ru/document/cons_doc_LAW_355880/a593eaab768d34bf2d7419322eac79481e73cf03/" \l "dst43"</w:instrText>
      </w:r>
      <w:r>
        <w:rPr>
          <w:rStyle w:val="Style"/>
          <w:sz w:val="28"/>
          <w:szCs w:val="28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sz w:val="28"/>
          <w:szCs w:val="28"/>
        </w:rPr>
        <w:t>частью 6</w:t>
      </w:r>
      <w:r>
        <w:rPr>
          <w:rStyle w:val="Style"/>
          <w:sz w:val="28"/>
          <w:szCs w:val="28"/>
          <w:rFonts w:ascii="Times New Roman" w:hAnsi="Times New Roman"/>
        </w:rPr>
        <w:fldChar w:fldCharType="end"/>
      </w:r>
      <w:r>
        <w:rPr>
          <w:rFonts w:eastAsia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статьи 7 </w:t>
      </w:r>
      <w:r>
        <w:rPr>
          <w:rFonts w:eastAsia="Times New Roman"/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210-ФЗ</w:t>
      </w:r>
      <w:r>
        <w:rPr>
          <w:rFonts w:ascii="Times New Roman" w:hAnsi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</w:t>
      </w:r>
      <w:r>
        <w:rPr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, по собственной инициативе;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/>
      </w:pPr>
      <w:bookmarkStart w:id="5" w:name="dst38"/>
      <w:bookmarkStart w:id="6" w:name="dst290"/>
      <w:bookmarkEnd w:id="5"/>
      <w:bookmarkEnd w:id="6"/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>
        <w:rPr>
          <w:rFonts w:eastAsia="Times New Roman"/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210-ФЗ;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dst291"/>
      <w:bookmarkEnd w:id="7"/>
      <w:r>
        <w:rPr>
          <w:rFonts w:ascii="Times New Roman" w:hAnsi="Times New Roman"/>
          <w:color w:val="auto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dst292"/>
      <w:bookmarkEnd w:id="8"/>
      <w:r>
        <w:rPr>
          <w:rFonts w:ascii="Times New Roman" w:hAnsi="Times New Roman"/>
          <w:color w:val="auto"/>
          <w:sz w:val="28"/>
          <w:szCs w:val="28"/>
        </w:rPr>
        <w:t>наличие ошибок в заявлении о предоставлении государственной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dst293"/>
      <w:bookmarkEnd w:id="9"/>
      <w:r>
        <w:rPr>
          <w:rFonts w:ascii="Times New Roman" w:hAnsi="Times New Roman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shd w:val="clear" w:color="auto" w:fill="FFFFFF"/>
        <w:spacing w:lineRule="auto" w:line="240"/>
        <w:ind w:left="0" w:right="0" w:firstLine="709"/>
        <w:jc w:val="both"/>
        <w:rPr/>
      </w:pPr>
      <w:bookmarkStart w:id="10" w:name="dst294"/>
      <w:bookmarkEnd w:id="10"/>
      <w:r>
        <w:rPr>
          <w:rFonts w:ascii="Times New Roman" w:hAnsi="Times New Roman"/>
          <w:color w:val="auto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комитета</w:t>
      </w:r>
      <w:r>
        <w:rPr>
          <w:rFonts w:ascii="Times New Roman" w:hAnsi="Times New Roman"/>
          <w:color w:val="auto"/>
          <w:sz w:val="28"/>
          <w:szCs w:val="28"/>
        </w:rPr>
        <w:t>, предоставляющего государственную услугу, или работника многофункционального центра, работника организации, предусмотренной</w:t>
      </w:r>
      <w:r>
        <w:rPr>
          <w:rFonts w:eastAsia="Times New Roman"/>
          <w:color w:val="auto"/>
          <w:sz w:val="28"/>
          <w:szCs w:val="28"/>
        </w:rPr>
        <w:t> </w:t>
      </w:r>
      <w:r>
        <w:fldChar w:fldCharType="begin"/>
      </w:r>
      <w:r>
        <w:rPr>
          <w:rStyle w:val="Style"/>
          <w:sz w:val="28"/>
          <w:szCs w:val="28"/>
          <w:rFonts w:ascii="Times New Roman" w:hAnsi="Times New Roman"/>
        </w:rPr>
        <w:instrText> HYPERLINK "http://www.consultant.ru/document/cons_doc_LAW_355880/a2588b2a1374c05e0939bb4df8e54fc0dfd6e000/" \l "dst100352"</w:instrText>
      </w:r>
      <w:r>
        <w:rPr>
          <w:rStyle w:val="Style"/>
          <w:sz w:val="28"/>
          <w:szCs w:val="28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color w:val="auto"/>
          <w:sz w:val="28"/>
          <w:szCs w:val="28"/>
        </w:rPr>
        <w:t>частью 1.1 статьи 16</w:t>
      </w:r>
      <w:r>
        <w:rPr>
          <w:rStyle w:val="Style"/>
          <w:sz w:val="28"/>
          <w:szCs w:val="28"/>
          <w:rFonts w:ascii="Times New Roman" w:hAnsi="Times New Roman"/>
        </w:rPr>
        <w:fldChar w:fldCharType="end"/>
      </w:r>
      <w:r>
        <w:rPr>
          <w:rFonts w:eastAsia="Times New Roman"/>
          <w:color w:val="auto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</w:t>
      </w:r>
      <w:r>
        <w:rPr>
          <w:sz w:val="28"/>
          <w:szCs w:val="28"/>
        </w:rPr>
        <w:t xml:space="preserve"> № 210-ФЗ</w:t>
      </w:r>
      <w:r>
        <w:rPr>
          <w:rFonts w:ascii="Times New Roman" w:hAnsi="Times New Roman"/>
          <w:color w:val="auto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комитета</w:t>
      </w:r>
      <w:r>
        <w:rPr>
          <w:rFonts w:ascii="Times New Roman" w:hAnsi="Times New Roman"/>
          <w:color w:val="auto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</w:t>
      </w:r>
      <w:r>
        <w:rPr>
          <w:rFonts w:eastAsia="Times New Roman"/>
          <w:color w:val="auto"/>
          <w:sz w:val="28"/>
          <w:szCs w:val="28"/>
        </w:rPr>
        <w:t> </w:t>
      </w:r>
      <w:r>
        <w:fldChar w:fldCharType="begin"/>
      </w:r>
      <w:r>
        <w:rPr>
          <w:rStyle w:val="Style"/>
          <w:sz w:val="28"/>
          <w:szCs w:val="28"/>
          <w:rFonts w:ascii="Times New Roman" w:hAnsi="Times New Roman"/>
        </w:rPr>
        <w:instrText> HYPERLINK "http://www.consultant.ru/document/cons_doc_LAW_355880/a2588b2a1374c05e0939bb4df8e54fc0dfd6e000/" \l "dst100352"</w:instrText>
      </w:r>
      <w:r>
        <w:rPr>
          <w:rStyle w:val="Style"/>
          <w:sz w:val="28"/>
          <w:szCs w:val="28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color w:val="auto"/>
          <w:sz w:val="28"/>
          <w:szCs w:val="28"/>
        </w:rPr>
        <w:t>частью 1.1 статьи 16</w:t>
      </w:r>
      <w:r>
        <w:rPr>
          <w:rStyle w:val="Style"/>
          <w:sz w:val="28"/>
          <w:szCs w:val="28"/>
          <w:rFonts w:ascii="Times New Roman" w:hAnsi="Times New Roman"/>
        </w:rPr>
        <w:fldChar w:fldCharType="end"/>
      </w:r>
      <w:r>
        <w:rPr>
          <w:rFonts w:eastAsia="Times New Roman"/>
          <w:color w:val="auto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</w:t>
      </w:r>
      <w:r>
        <w:rPr>
          <w:sz w:val="28"/>
          <w:szCs w:val="28"/>
        </w:rPr>
        <w:t xml:space="preserve"> № 210-ФЗ</w:t>
      </w:r>
      <w:r>
        <w:rPr>
          <w:rFonts w:ascii="Times New Roman" w:hAnsi="Times New Roman"/>
          <w:color w:val="auto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>
      <w:pPr>
        <w:pStyle w:val="Normal"/>
        <w:spacing w:lineRule="auto" w:line="240"/>
        <w:ind w:left="0" w:right="0" w:firstLine="709"/>
        <w:jc w:val="both"/>
        <w:rPr/>
      </w:pPr>
      <w:bookmarkStart w:id="11" w:name="dst317"/>
      <w:bookmarkEnd w:id="11"/>
      <w:r>
        <w:rPr>
          <w:rFonts w:ascii="Times New Roman" w:hAnsi="Times New Roman"/>
          <w:color w:val="auto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>
        <w:rPr>
          <w:rFonts w:eastAsia="Times New Roman"/>
          <w:color w:val="auto"/>
          <w:sz w:val="28"/>
          <w:szCs w:val="28"/>
        </w:rPr>
        <w:t> </w:t>
      </w:r>
      <w:r>
        <w:fldChar w:fldCharType="begin"/>
      </w:r>
      <w:r>
        <w:rPr>
          <w:rStyle w:val="Style"/>
          <w:sz w:val="28"/>
          <w:szCs w:val="28"/>
          <w:rFonts w:ascii="Times New Roman" w:hAnsi="Times New Roman"/>
        </w:rPr>
        <w:instrText> HYPERLINK "http://www.consultant.ru/document/cons_doc_LAW_355880/a2588b2a1374c05e0939bb4df8e54fc0dfd6e000/" \l "dst359"</w:instrText>
      </w:r>
      <w:r>
        <w:rPr>
          <w:rStyle w:val="Style"/>
          <w:sz w:val="28"/>
          <w:szCs w:val="28"/>
          <w:rFonts w:ascii="Times New Roman" w:hAnsi="Times New Roman"/>
        </w:rPr>
        <w:fldChar w:fldCharType="separate"/>
      </w:r>
      <w:r>
        <w:rPr>
          <w:rStyle w:val="Style"/>
          <w:rFonts w:ascii="Times New Roman" w:hAnsi="Times New Roman"/>
          <w:color w:val="auto"/>
          <w:sz w:val="28"/>
          <w:szCs w:val="28"/>
        </w:rPr>
        <w:t>пунктом 7.2 части 1 статьи 16</w:t>
      </w:r>
      <w:r>
        <w:rPr>
          <w:rStyle w:val="Style"/>
          <w:sz w:val="28"/>
          <w:szCs w:val="28"/>
          <w:rFonts w:ascii="Times New Roman" w:hAnsi="Times New Roman"/>
        </w:rPr>
        <w:fldChar w:fldCharType="end"/>
      </w:r>
      <w:r>
        <w:rPr>
          <w:rFonts w:eastAsia="Times New Roman"/>
          <w:color w:val="auto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</w:t>
      </w:r>
      <w:r>
        <w:rPr>
          <w:sz w:val="28"/>
          <w:szCs w:val="28"/>
        </w:rPr>
        <w:t xml:space="preserve"> № 210-ФЗ</w:t>
      </w:r>
      <w:r>
        <w:rPr>
          <w:rFonts w:ascii="Times New Roman" w:hAnsi="Times New Roman"/>
          <w:color w:val="auto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Заявка, поступившая в комитет после даты окончания срока подачи заявок, а также без приложения документов, подтверждающих оплату заявителем задатка и сбора за участие в аукционе, не рассматривается и в течение 2-х рабочих дней со дня ее регистрации в комитете возвращается заявителю по почте или вручается под роспись. 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государственной услуги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2.10.1. Основанием для приостановления предоставления государственной услуги является: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отсутствие кворума для заседания аукционной комиссии;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возникновение обстоятельств непреодолимой силы, а также чрезвычайных и непредотвратимых при данных условиях обстоятельств.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2.10.2. Отказ в допуске заявки на участие в аукционе следует в случаях: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заявка на предоставление лицензии подана с нарушением установленных требований, в том числе, если ее содержание не соответствует объявленным порядку и условиям проведения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заявитель умышленно представил о себе неверные сведения;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если в случае предоставления права пользования недрами данному заявителю не будут соблюдены антимонопольные требования.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2.10.3. Основанием для отказа в предоставлении государственной услуги является решение комитета об отмене проведения аукциона, принятое в соответствии с подпунктом 3.1.11. пункта 3.1. настоящего Административного регламента, а также судебные акты, в которых установлены нарушения порядка принятия решения о проведении аукциона, порядка и условий проведения аукциона на право пользования конкретным участком недр, требований действующего законодательства Российской Федерации, либо решение о проведении аукциона признано недействительным.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Услуги, которые являются необходимыми и обязательными для предоставления государственной услуги, законодательством Курской области не предусмотрены.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2.12. Порядок, размер и основание взимания государственной пошлины или иной платы, взимаемой за предоставление услуги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 соответствии со статьей 42 Закона Российской Федерации от 21 февраля 1992 года № 2395-1 «О недрах» (далее Закона Российской Федерации «О недрах») всеми участниками аукциона вносится сбор за участие в аукционе. Оплата сбора за участие в аукционе является одним из условий регистрации заявки.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Сумма сбора за участие в аукционе определяется на основании сметы расходов на проведение аукциона на право пользование участком недр местного значения (далее – Смета) исходя из затрат комитета на подготовку, проведение и подведение итогов аукциона. 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Смета составляется в расчете на проведение аукциона на пользование участком недр для двух участников. Сумма сбора, подлежащая уплате каждым участником аукциона, определяется делением общей суммы расходов, учтенных в Смете, на два.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Смета расходов на проведение аукциона по конкретному участку недр подготавливается в сроки, установленные для подготовки условий проведения аукциона, подписывается начальником отдела рационального недропользования и государственной экологической экспертизы и утверждается председателем комитета.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Сбор за участие в аукционе перечисляется в доход бюджета Курской области.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Сбор за участие в аукционе независимо от результатов проведения аукциона заявителям не возвращается, за исключением случаев отмены проведения аукциона, признания судом по иску заинтересованного лица недействительным аукциона, проведенного с нарушением установленных правил, отказа заявителя от участия в аукционе или недопуска заявителя к участию в аукционе по результатам рассмотрения заявки.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pacing w:val="1"/>
          <w:sz w:val="28"/>
          <w:szCs w:val="28"/>
        </w:rPr>
        <w:t xml:space="preserve">В случае внесения изменений в выданный по результатам предоставления </w:t>
      </w:r>
      <w:r>
        <w:rPr>
          <w:rFonts w:eastAsia="Times New Roman" w:ascii="Times New Roman" w:hAnsi="Times New Roman"/>
          <w:sz w:val="28"/>
          <w:szCs w:val="28"/>
        </w:rPr>
        <w:t xml:space="preserve">государственной услуги документ, направленный на исправление ошибок, допущенных </w:t>
      </w:r>
      <w:r>
        <w:rPr>
          <w:rFonts w:eastAsia="Times New Roman" w:ascii="Times New Roman" w:hAnsi="Times New Roman"/>
          <w:spacing w:val="3"/>
          <w:sz w:val="28"/>
          <w:szCs w:val="28"/>
        </w:rPr>
        <w:t xml:space="preserve">по вине комитета и (или) должностного лица комитета, </w:t>
      </w:r>
      <w:r>
        <w:rPr>
          <w:rFonts w:eastAsia="Times New Roman" w:ascii="Times New Roman" w:hAnsi="Times New Roman"/>
          <w:spacing w:val="1"/>
          <w:sz w:val="28"/>
          <w:szCs w:val="28"/>
        </w:rPr>
        <w:t>плата с заявителя не взимается.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законодательством Курской области не предусмотрены.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2.14. 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составляет не более 15 минут.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2.15.1. В случае представления заявки на участие в аукционе и документов, необходимых для предоставления государственной услуги, заявителем лично, запрос регистрируется должностным лицом комитета, ответственным за делопроизводство, в журнале регистрации входящей корреспонденции с указанием на запросе номера и даты поступления. Срок регистрации запроса заявителя о предоставлении государственной услуги составляет не более 15 минут.</w:t>
      </w:r>
    </w:p>
    <w:p>
      <w:pPr>
        <w:pStyle w:val="Cee1fbf7edfbe9e2e5e12"/>
        <w:spacing w:before="0" w:after="0"/>
        <w:ind w:firstLine="709"/>
        <w:rPr/>
      </w:pPr>
      <w:r>
        <w:rPr>
          <w:rFonts w:eastAsia="Times New Roman" w:ascii="Times New Roman" w:hAnsi="Times New Roman"/>
          <w:sz w:val="28"/>
          <w:szCs w:val="28"/>
        </w:rPr>
        <w:t>2.15.2. В случае направления заявки на участие в аукционе и документов, необходимых для предоставления государственной услуги, по почте заявление регистрируется датой, соответствующей дате поступления заявки и документов, необходимых для предоставления государственной услуги, по штемпелю на конверте.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2.16.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Здание, в котором расположен комитет, оборудовано входом, обеспечивающим свободный доступ заявителей. Помещения для работы с заявителями размещены на нижнем этаже здания.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Центральный вход в здание оборудован информационной табличкой (вывеской),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Здание комитета оборудуется соответствующими информационными стендами, вывесками, указателями.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Визуальная, текстовая и мультимедийная информация о порядке предоставления государственной услуги размещается на официальном сайте комитета </w:t>
      </w:r>
      <w:hyperlink r:id="rId2">
        <w:r>
          <w:rPr>
            <w:rStyle w:val="C8edf2e5f0ede5f2f1f1fbebeae0"/>
            <w:rFonts w:eastAsia="Times New Roman" w:ascii="Times New Roman" w:hAnsi="Times New Roman"/>
            <w:color w:val="000000"/>
            <w:sz w:val="28"/>
            <w:szCs w:val="28"/>
            <w:lang w:val="en-US" w:eastAsia="ar-SA"/>
          </w:rPr>
          <w:t>http</w:t>
        </w:r>
        <w:r>
          <w:rPr>
            <w:rStyle w:val="C8edf2e5f0ede5f2f1f1fbebeae0"/>
            <w:rFonts w:eastAsia="Times New Roman" w:ascii="Times New Roman" w:hAnsi="Times New Roman"/>
            <w:color w:val="000000"/>
            <w:sz w:val="28"/>
            <w:szCs w:val="28"/>
            <w:lang w:eastAsia="ar-SA"/>
          </w:rPr>
          <w:t>://www.</w:t>
        </w:r>
        <w:r>
          <w:rPr>
            <w:rStyle w:val="C8edf2e5f0ede5f2f1f1fbebeae0"/>
            <w:rFonts w:eastAsia="Times New Roman" w:ascii="Times New Roman" w:hAnsi="Times New Roman"/>
            <w:color w:val="000000"/>
            <w:sz w:val="28"/>
            <w:szCs w:val="28"/>
            <w:lang w:val="en-US" w:eastAsia="ar-SA"/>
          </w:rPr>
          <w:t>ecolog</w:t>
        </w:r>
        <w:r>
          <w:rPr>
            <w:rStyle w:val="C8edf2e5f0ede5f2f1f1fbebeae0"/>
            <w:rFonts w:eastAsia="Times New Roman" w:ascii="Times New Roman" w:hAnsi="Times New Roman"/>
            <w:color w:val="000000"/>
            <w:sz w:val="28"/>
            <w:szCs w:val="28"/>
            <w:lang w:eastAsia="ar-SA"/>
          </w:rPr>
          <w:t>46.</w:t>
        </w:r>
        <w:r>
          <w:rPr>
            <w:rStyle w:val="C8edf2e5f0ede5f2f1f1fbebeae0"/>
            <w:rFonts w:eastAsia="Times New Roman" w:ascii="Times New Roman" w:hAnsi="Times New Roman"/>
            <w:color w:val="000000"/>
            <w:sz w:val="28"/>
            <w:szCs w:val="28"/>
            <w:lang w:val="en-US" w:eastAsia="ar-SA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в сети «Интернет», в соответствующем разделе регионального реестра и на Едином портале.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Места ожидания в очереди на получение документов в здании комитета оборудованы стульями, столами.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Заявителям гарантируется прием в помещении, оборудованном в соответствии с санитарно-эпидемиологическими правилами и нормативами СанПиН 2.2.2/2.4.1340-03.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Помещение оборудовано противопожарной системой и системой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eastAsia="Times New Roman" w:ascii="Times New Roman" w:hAnsi="Times New Roman"/>
          <w:sz w:val="28"/>
          <w:szCs w:val="28"/>
        </w:rPr>
        <w:t>пожаротушения.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Предусмотрена возможность свободного входа и выхода специалистов и заявителей из помещения при необходимости.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Помещение для проведения аукционов оборудовано стульями и столами для всех участников аукциона и членов аукционной комиссии.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 территории, прилегающей к месторасположению комитета оборудованы места для парковки автотранспортных средств, в том числе специально отведённые места для стоянки автотранспорта инвалидов. Доступ заявителей к парковочным местам является бесплатным.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Обслуживание лиц с ограниченными возможностями здоровья осуществляется в специально выделенном для этих целей помещении, расположенном на нижнем этаже здания комитета.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Помещения, предназначенные для ожидания в очереди приема документов, обслуживания лиц с ограниченными возможностями здоровья, предоставления консультаций, должны соответствовать требованиям комфортности условий пребывания в них заявителей.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Специалисты комитета: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обеспечивают сопровождение инвалидов, имеющих стойкие расстройства функции зрения и самостоятельного передвижения по территории комитета;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оказывают лицам с ограниченными возможностями здоровья необходимую помощь, связанную с разъяснением в доступной для них форме порядка предоставления и получения услуги, оформление необходимых для ее предоставления документов, ознакомлением их с размещением кабинетов комитета.</w:t>
      </w:r>
    </w:p>
    <w:p>
      <w:pPr>
        <w:pStyle w:val="Cef1edeee2edeee9f2e5eaf1f2"/>
        <w:spacing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случае наличия сопровождающего лица (сурдопереводчика, тифлосурдопереводчика, иного лица, владеющего жестовым языком) комитет обязан обеспечить данному лицу беспрепятственный вход в здание вместе с заявителем-инвалидом. Также обеспечивается допуск в комитет собаки-проводника при наличии документа, подтверждающего её специальное обучение, выданного по форме, установленной Министерством труда и социальной защиты Российской Федерации.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Показателями доступности государственной услуги являются: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расположенность органов, предоставляющих государственную услугу, в зоне доступности к основным транспортным магистралям, хорошие подъездные дороги;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>
      <w:pPr>
        <w:pStyle w:val="ConsPlus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доступность обращения за предоставлением государственной услуги, в том числе для заявителей с ограниченными возможностями здоровья.</w:t>
      </w:r>
    </w:p>
    <w:p>
      <w:pPr>
        <w:pStyle w:val="ConsPlus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Показателями качества предоставления государственной услуги являются: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регламентов сроков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количество взаимодействия заявителя с должностными лицами при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t>и их продолжительность</w:t>
      </w:r>
      <w:r>
        <w:rPr>
          <w:rFonts w:eastAsia="Times New Roman" w:ascii="Times New Roman" w:hAnsi="Times New Roman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отсутствие очередей при приеме и выдаче документов заявителям;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отсутствие жалоб на некорректное, невнимательное отношение специалистов и уполномоченных должностных лиц к заявителям;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2.18. </w:t>
      </w:r>
      <w:r>
        <w:rPr>
          <w:rFonts w:eastAsia="Times New Roman" w:ascii="Times New Roman" w:hAnsi="Times New Roman"/>
          <w:b/>
          <w:sz w:val="28"/>
          <w:szCs w:val="28"/>
        </w:rPr>
        <w:t>Иные требования и особенности предоставления государственной услуги в электронной форме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Государственная услуга в настоящее время в электронной не предоставляется.</w:t>
      </w:r>
    </w:p>
    <w:p>
      <w:pPr>
        <w:pStyle w:val="ConsPlusNormal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eastAsia="Times New Roman" w:ascii="Times New Roman" w:hAnsi="Times New Roman"/>
          <w:b/>
          <w:sz w:val="28"/>
          <w:szCs w:val="28"/>
        </w:rPr>
        <w:t>. Состав, последовательность и сроки выполнения           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Cee1fbf7edfbe9e2e5e12"/>
        <w:spacing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Cee1fbf7edfbe9e2e5e12"/>
        <w:spacing w:before="0" w:after="0"/>
        <w:ind w:firstLine="709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Cee1fbf7edfbe9e2e5e12"/>
        <w:spacing w:before="0" w:after="0"/>
        <w:ind w:firstLine="709"/>
        <w:rPr/>
      </w:pPr>
      <w:r>
        <w:rPr>
          <w:rFonts w:eastAsia="Times New Roman"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>
      <w:pPr>
        <w:pStyle w:val="Cee1fbf7edfbe9e2e5e12"/>
        <w:spacing w:before="0" w:after="0"/>
        <w:ind w:firstLine="709"/>
        <w:rPr/>
      </w:pPr>
      <w:r>
        <w:rPr>
          <w:rFonts w:eastAsia="Times New Roman" w:ascii="Times New Roman" w:hAnsi="Times New Roman"/>
          <w:sz w:val="28"/>
          <w:szCs w:val="28"/>
        </w:rPr>
        <w:t>1) принятие решения о проведении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2) подготовка и размещение на официальном сайте Российской Федерации (</w:t>
      </w:r>
      <w:r>
        <w:rPr>
          <w:rFonts w:eastAsia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Times New Roman" w:ascii="Times New Roman" w:hAnsi="Times New Roman"/>
          <w:sz w:val="28"/>
          <w:szCs w:val="28"/>
        </w:rPr>
        <w:t>.</w:t>
      </w:r>
      <w:r>
        <w:rPr>
          <w:rFonts w:eastAsia="Times New Roman" w:ascii="Times New Roman" w:hAnsi="Times New Roman"/>
          <w:sz w:val="28"/>
          <w:szCs w:val="28"/>
          <w:lang w:val="en-US"/>
        </w:rPr>
        <w:t>torgi</w:t>
      </w:r>
      <w:r>
        <w:rPr>
          <w:rFonts w:eastAsia="Times New Roman" w:ascii="Times New Roman" w:hAnsi="Times New Roman"/>
          <w:sz w:val="28"/>
          <w:szCs w:val="28"/>
        </w:rPr>
        <w:t>.</w:t>
      </w:r>
      <w:r>
        <w:rPr>
          <w:rFonts w:eastAsia="Times New Roman" w:ascii="Times New Roman" w:hAnsi="Times New Roman"/>
          <w:sz w:val="28"/>
          <w:szCs w:val="28"/>
          <w:lang w:val="en-US"/>
        </w:rPr>
        <w:t>gov</w:t>
      </w:r>
      <w:r>
        <w:rPr>
          <w:rFonts w:eastAsia="Times New Roman" w:ascii="Times New Roman" w:hAnsi="Times New Roman"/>
          <w:sz w:val="28"/>
          <w:szCs w:val="28"/>
        </w:rPr>
        <w:t>.</w:t>
      </w:r>
      <w:r>
        <w:rPr>
          <w:rFonts w:eastAsia="Times New Roman" w:ascii="Times New Roman" w:hAnsi="Times New Roman"/>
          <w:sz w:val="28"/>
          <w:szCs w:val="28"/>
          <w:lang w:val="en-US"/>
        </w:rPr>
        <w:t>ru</w:t>
      </w:r>
      <w:r>
        <w:rPr>
          <w:rFonts w:eastAsia="Times New Roman" w:ascii="Times New Roman" w:hAnsi="Times New Roman"/>
          <w:sz w:val="28"/>
          <w:szCs w:val="28"/>
        </w:rPr>
        <w:t>) в информационно-телекоммуникационной сети «Интернет» извещения о проведении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3) регистрация заявок на участие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4.1) рассмотрение и прием заявок на участие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4.2) формирование и направление межведомственного запроса (запросов) в органы (организации), участвующие в предоставлении государственной услуги;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5) проведение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6) утверждение результатов аукциона и информирование участников аукциона о результатах.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7) порядок исправления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3.1. Принятие решения о проведении аукциона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3.1.1. Основанием для начала исполнения административного действия, является поступление в комитет заявок от потенциальных недропользователей.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3.1.2. Принятие решения о проведении аукциона относительно каждого участка недр местного значения или группы участков недр местного значения осуществляется комитетом.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</w:t>
      </w:r>
      <w:bookmarkStart w:id="12" w:name="sub_51"/>
      <w:r>
        <w:rPr>
          <w:rFonts w:eastAsia="Times New Roman" w:ascii="Times New Roman" w:hAnsi="Times New Roman"/>
          <w:sz w:val="28"/>
          <w:szCs w:val="28"/>
        </w:rPr>
        <w:t>.3.</w:t>
      </w:r>
      <w:bookmarkEnd w:id="12"/>
      <w:r>
        <w:rPr>
          <w:rFonts w:eastAsia="Times New Roman" w:ascii="Times New Roman" w:hAnsi="Times New Roman"/>
          <w:sz w:val="28"/>
          <w:szCs w:val="28"/>
        </w:rPr>
        <w:t xml:space="preserve"> Комплекс подготовительных работ для обоснования решения о проведении аукциона включает: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определение предварительных границ участка недр;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предварительную разработку условий пользования недрами;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обоснование расчетов сборов и платежей при пользовании недрами (сбор за участие в аукционе, платежи за пользование недрами);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подготовку пакета геологической и иной информации, содержащей:</w:t>
      </w:r>
    </w:p>
    <w:p>
      <w:pPr>
        <w:pStyle w:val="Normal"/>
        <w:ind w:firstLine="709"/>
        <w:jc w:val="both"/>
        <w:rPr/>
      </w:pPr>
      <w:bookmarkStart w:id="13" w:name="sub_39"/>
      <w:bookmarkEnd w:id="13"/>
      <w:r>
        <w:rPr>
          <w:rFonts w:eastAsia="Times New Roman" w:ascii="Times New Roman" w:hAnsi="Times New Roman"/>
          <w:sz w:val="28"/>
          <w:szCs w:val="28"/>
        </w:rPr>
        <w:t>краткую характеристику геологического строения участка недр с указанием геолого-промышленного типа месторождения, величины запасов (ресурсов) общераспространённых полезных ископаемых по категориям разведанности, характеристики технологических типов минерального сырья, основных горно-геологических условий их разработки, краткой характеристикой геолого-экономических показателей месторождения;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данные о горном отводе – обозначение, номера и географические координаты угловых точек, указывающих их положение на карте или плане соответствующего масштаба, ограничения по глубине горного отвода и положение соседних участков недр, ранее переданных в пользование.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Решение о проведении аукциона оформляется приказом комитета: 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1) о проведении аукциона;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2) об утверждении условий и порядка проведения аукциона, 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3) о комиссии по проведению аукциона;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4) об утверждении протокола заседания комиссии по рассмотрению заявок на участие в аукционе;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5) об утверждении протокола аукциона.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3.1.4. Поступившие заявки в течение 5 календарных дней с даты их регистрации в комитете рассматривает ответственное должностное лицо за проведение аукционов.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Если представленная заявка: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1) содержит следующие сведения: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наименование, юридический и фактический адрес заинтересованного лица;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наименование (если имеется), местоположение участка недр;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вид полезного ископаемого;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предполагаемый ежегодный объем добычи полезного ископаемого;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2) заполнена машинописным способом и распечатана посредством электронных печатающих устройств, подписана руководителем Заявителя или лицом, уполномоченным Заявителем, а также заверена печатью (при наличии) Заявителя;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3) участок недр в соответствии с Законом Российской Федерации «О недрах» включен в утвержденный Администрацией Курской области перечень участков недр местного значения,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ответственное должностное лицо за проведение аукционов в течение 2-х рабочих дней с момента окончания рассмотрения заявки подготавливает проект приказа комитета о проведении аукциона на право пользования заявленным участком недр.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Если документы не соответствуют установленным настоящим Административным регламентом требованиям, ответственное должностное лицо за проведение аукционов подготавливает заинтересованному лицу письмо об отказе в проведении аукциона по заявленному участку недр.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Информация о принятом решении по результатам рассмотрения заявки направляется ответственным должностным лицом за проведение аукционов лицу, подавшему заявку в срок, не превышающий 7 календарных дней с даты регистрации заявки.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3.1.5. Приказ о проведении аукциона включает в себя: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а) наименование участка недр местного значения и данные о целевом назначении работ, связанных с пользованием участком недр местного значения;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б) указание на должностных лиц комитета, ответственных за организацию и проведение аукциона, подготовку, публикацию и размещение на сайте извещения о проведении аукциона.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3.1.6. После подписания приказа о проведении аукциона ответственное должностное лицо за проведение аукционов в срок, не превышающий 5-ти рабочих дней, осуществляет подготовку условий проведения аукциона.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3.1.7. Определенные комитетом порядок и условия проведения аукциона в зависимости от вида пользования недрами, степени изученности участка недр и других факторов включают: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1) дату, время (в часах, минутах по месту проведения аукциона), место проведения такого аукциона и подведения его итогов;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2) место подачи заявок на участие в аукционе и дату окончания подачи заявок на участие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3) наименование, общие сведения об участке недр местного значения с указанием его местонахождения;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4)  краткую геологическую характеристику участка недр местного значения;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5) основные условия пользования участком недр местного значения (сроки проведения геологического изучения недр и представления материалов с подсчетом запасов полезных ископаемых на государственную экспертизу, сроки подготовки и утверждения технического проекта разработки и рекультивации участка недр местного значения; сроки ввода месторождения в разработку; годовой уровень добычи минерального сырья; требования к рациональному использованию недр, охране недр и окружающей среды, безопасному ведению работ, связанных с пользованием недрами);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6) требования к заявке на участие в аукционе и материалам, представляемым заявителем;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7) основания для отказа в регистрации и допуске заявки на участие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8) размер сбора за участие в аукционе;</w:t>
      </w:r>
    </w:p>
    <w:p>
      <w:pPr>
        <w:pStyle w:val="Cee1fbf7edfbe9e2e5e1"/>
        <w:spacing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9) стартовые размеры разовых платежей при пользовании недрами (в том числе сроки их внесения), величину вносимого участниками задатка при проведении аукциона, величину шага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10) размер, срок и порядок внесения задатка, обеспечивающего уплату участниками аукционов разового платежа за пользование участком недр местного значения, форму договора о задатке;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11) порядок работы аукционной комиссии;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12) основной критерий, определяющий выбор победителя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13) порядок и условия признания аукциона несостоявшимся;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14) почтовый адрес и контактные телефоны, а также банковские реквизиты комитета;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15) указание на место и время для ознакомления с порядком и условиями проведения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3.1.8. В случае возникновения обстоятельств, препятствующих проведению аукциона в установленные сроки, комитетом в течение 3 рабочих дней со дня возникновения таких обстоятельств принимается решение о переносе срока проведения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 таким обстоятельствам относятся: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отсутствие кворума для заседания аукционной комиссии;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возникновение обстоятельств непреодолимой силы, а также чрезвычайных и непредотвратимых при данных условиях обстоятельств.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случае возникновения обстоятельств, препятствующих проведению аукциона в день его проведения, – аукционной комиссией, а при отсутствии кворума аукционной комиссии – председателем аукционной комиссии принимается решение о переносе срока заседания аукционной комиссии, но не более чем на 7 рабочих дней.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3.1.9. Если решение о переносе срока проведения аукциона принимается до окончания срока подачи заявок, то устанавливается новый срок подачи заявок.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Информирование о переносе срока подачи заявок осуществляется комитетом посредством публикации извещения в порядке, установленном пунктом 3.2.4. настоящего Административного регламента в день возникновения обстоятельств, указанных в пункте 3.1.8. настоящего Административного регламента, а также в течение 2-х рабочих дней со дня принятия указанного решения доводится до заявителей с помощью средств телефонной связи, факсимильной связи или по электронной почте.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3.1.10. Если решение о переносе срока проведения аукциона принимается после окончания срока подачи заявок, то ранее установленный срок подачи заявок не изменяется.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 этом случае информация о переносе срока доводится до заявителей, подавших заявку на участие в аукционе, с помощью средств телефонной связи, факсимильной связи или по электронной почте.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3.1.11. Комитет до даты заседания аукционной комиссии принимает решение об отмене проведения аукциона: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случае выявления нарушений требований законодательства при проведении аукциона утвержденных условий и порядка проведения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 основании судебных актов;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вследствие обстоятельств непреодолимой силы.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3.1.12. Решение об отмене аукциона оформляется приказом комитета в течение 5-ти календарных дней со дня, когда комитету стало известно о допущенных нарушениях, об обстоятельствах непреодолимой силы, или со дня поступления в комитет судебного акта.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</w:t>
      </w:r>
      <w:r>
        <w:rPr>
          <w:rFonts w:eastAsia="Times New Roman" w:ascii="Times New Roman" w:hAnsi="Times New Roman"/>
          <w:spacing w:val="-6"/>
          <w:sz w:val="28"/>
          <w:szCs w:val="28"/>
        </w:rPr>
        <w:t>1.13. Максимальный срок проведения административного действия – в течение 14 календарных дней с даты регистрации заявки</w:t>
      </w:r>
      <w:r>
        <w:rPr>
          <w:rFonts w:eastAsia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3.1.14. Критерии принятия решений: достоверность и соответствие представляемых документов требованиям Административного регламента.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3.1.15. Результат административного действия: приказы комитета о проведении аукциона, об утверждении условий проведения аукциона или письмо комитета, информирующее об отказе о проведении аукциона.</w:t>
      </w:r>
    </w:p>
    <w:p>
      <w:pPr>
        <w:pStyle w:val="Normal"/>
        <w:tabs>
          <w:tab w:val="clear" w:pos="709"/>
          <w:tab w:val="left" w:pos="18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3.1.16. Способ фиксации результата исполнения административного действия – регистрация приказов комитета о проведении аукциона, об утверждении условий проведения аукциона в журнале регистрации приказов, либо регистрация исходящего письма комитета в системе электронного делопроизводства «Дело».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b/>
          <w:spacing w:val="-4"/>
          <w:sz w:val="28"/>
          <w:szCs w:val="28"/>
        </w:rPr>
        <w:t>3.2. Подготовка и размещение на официальном сайте Российской Федерации (</w:t>
      </w:r>
      <w:r>
        <w:rPr>
          <w:rFonts w:eastAsia="Times New Roman" w:ascii="Times New Roman" w:hAnsi="Times New Roman"/>
          <w:b/>
          <w:spacing w:val="-4"/>
          <w:sz w:val="28"/>
          <w:szCs w:val="28"/>
          <w:lang w:val="en-US"/>
        </w:rPr>
        <w:t>www</w:t>
      </w:r>
      <w:r>
        <w:rPr>
          <w:rFonts w:eastAsia="Times New Roman" w:ascii="Times New Roman" w:hAnsi="Times New Roman"/>
          <w:b/>
          <w:spacing w:val="-4"/>
          <w:sz w:val="28"/>
          <w:szCs w:val="28"/>
        </w:rPr>
        <w:t>.</w:t>
      </w:r>
      <w:r>
        <w:rPr>
          <w:rFonts w:eastAsia="Times New Roman" w:ascii="Times New Roman" w:hAnsi="Times New Roman"/>
          <w:b/>
          <w:spacing w:val="-4"/>
          <w:sz w:val="28"/>
          <w:szCs w:val="28"/>
          <w:lang w:val="en-US"/>
        </w:rPr>
        <w:t>torgi</w:t>
      </w:r>
      <w:r>
        <w:rPr>
          <w:rFonts w:eastAsia="Times New Roman" w:ascii="Times New Roman" w:hAnsi="Times New Roman"/>
          <w:b/>
          <w:spacing w:val="-4"/>
          <w:sz w:val="28"/>
          <w:szCs w:val="28"/>
        </w:rPr>
        <w:t>.</w:t>
      </w:r>
      <w:r>
        <w:rPr>
          <w:rFonts w:eastAsia="Times New Roman" w:ascii="Times New Roman" w:hAnsi="Times New Roman"/>
          <w:b/>
          <w:spacing w:val="-4"/>
          <w:sz w:val="28"/>
          <w:szCs w:val="28"/>
          <w:lang w:val="en-US"/>
        </w:rPr>
        <w:t>gov</w:t>
      </w:r>
      <w:r>
        <w:rPr>
          <w:rFonts w:eastAsia="Times New Roman" w:ascii="Times New Roman" w:hAnsi="Times New Roman"/>
          <w:b/>
          <w:spacing w:val="-4"/>
          <w:sz w:val="28"/>
          <w:szCs w:val="28"/>
        </w:rPr>
        <w:t>.</w:t>
      </w:r>
      <w:r>
        <w:rPr>
          <w:rFonts w:eastAsia="Times New Roman" w:ascii="Times New Roman" w:hAnsi="Times New Roman"/>
          <w:b/>
          <w:spacing w:val="-4"/>
          <w:sz w:val="28"/>
          <w:szCs w:val="28"/>
          <w:lang w:val="en-US"/>
        </w:rPr>
        <w:t>ru</w:t>
      </w:r>
      <w:r>
        <w:rPr>
          <w:rFonts w:eastAsia="Times New Roman" w:ascii="Times New Roman" w:hAnsi="Times New Roman"/>
          <w:b/>
          <w:spacing w:val="-4"/>
          <w:sz w:val="28"/>
          <w:szCs w:val="28"/>
        </w:rPr>
        <w:t xml:space="preserve">) в информационно-телекоммуникационной сети «Интернет» извещения о проведении аукциона 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3.2</w:t>
      </w:r>
      <w:bookmarkStart w:id="14" w:name="sub_71"/>
      <w:r>
        <w:rPr>
          <w:rFonts w:eastAsia="Times New Roman" w:ascii="Times New Roman" w:hAnsi="Times New Roman"/>
          <w:sz w:val="28"/>
          <w:szCs w:val="28"/>
        </w:rPr>
        <w:t>.1. Основанием для начала исполнения административного действия, является приказ комитета об утверждении условий проведения аукциона.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течение 3-х рабочих дней с даты подписания приказа об утверждении условий проведения аукциона ответственное должностное лицо за проведение аукционов готовит и размещает извещение</w:t>
        <w:br/>
        <w:t xml:space="preserve">о проведении аукциона на официальном сайте Российской Федерации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hyperlink r:id="rId3"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/>
          <w:sz w:val="28"/>
          <w:szCs w:val="28"/>
        </w:rPr>
        <w:t>)</w:t>
      </w:r>
      <w:r>
        <w:rPr>
          <w:rFonts w:eastAsia="Times New Roman" w:ascii="Times New Roman" w:hAnsi="Times New Roman"/>
          <w:sz w:val="28"/>
          <w:szCs w:val="28"/>
        </w:rPr>
        <w:t xml:space="preserve"> не позднее, чем за 45 календарных дней до даты проведения аукционов. </w:t>
      </w:r>
      <w:bookmarkEnd w:id="14"/>
    </w:p>
    <w:p>
      <w:pPr>
        <w:pStyle w:val="Style28"/>
        <w:ind w:left="0" w:right="0" w:firstLine="709"/>
        <w:jc w:val="both"/>
        <w:rPr/>
      </w:pPr>
      <w:bookmarkStart w:id="15" w:name="sub_711"/>
      <w:r>
        <w:rPr>
          <w:rFonts w:eastAsia="Times New Roman" w:ascii="Times New Roman" w:hAnsi="Times New Roman"/>
          <w:sz w:val="28"/>
          <w:szCs w:val="28"/>
        </w:rPr>
        <w:t xml:space="preserve">3.2.2. Извещение о проведении аукциона должно содержать указания на местоположение и описание участков недр местного значения, которые намечается предоставить в пользование, время и место проведения аукциона, стартовые размеры разовых платежей за пользование недрами, размер сбора за участие в аукционе, сроки подачи заявок, внесения задатка, </w:t>
      </w:r>
      <w:bookmarkEnd w:id="15"/>
      <w:r>
        <w:rPr>
          <w:rFonts w:eastAsia="Times New Roman" w:ascii="Times New Roman" w:hAnsi="Times New Roman"/>
          <w:sz w:val="28"/>
          <w:szCs w:val="28"/>
        </w:rPr>
        <w:t xml:space="preserve">место ознакомления и получения претендентом полного текста порядка и условий проведения аукционов. 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3.2.3. Информирование о переносе срока подачи заявок осуществляется комитетом в день возникновения обстоятельств, указанных в подпункте 3.1.8. пункта 3.1. настоящего Административного регламента, посредством размещения на официальном сайте Российской Федерации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hyperlink r:id="rId4"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/>
          <w:sz w:val="28"/>
          <w:szCs w:val="28"/>
        </w:rPr>
        <w:t>)</w:t>
      </w:r>
      <w:r>
        <w:rPr>
          <w:rFonts w:eastAsia="Times New Roman" w:ascii="Times New Roman" w:hAnsi="Times New Roman"/>
          <w:sz w:val="28"/>
          <w:szCs w:val="28"/>
        </w:rPr>
        <w:t xml:space="preserve">, а также в течение 2-х рабочих дней со дня принятия указанного решения доводится до заявителей с помощью средств телефонной связи, факсимильной связи или по электронной почте. 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3.2.4</w:t>
      </w:r>
      <w:r>
        <w:rPr>
          <w:rFonts w:eastAsia="Times New Roman" w:ascii="Times New Roman" w:hAnsi="Times New Roman"/>
          <w:spacing w:val="-2"/>
          <w:sz w:val="28"/>
          <w:szCs w:val="28"/>
        </w:rPr>
        <w:t xml:space="preserve">. Максимальный срок проведения административного действия – в течение 3 рабочих дней с момента издания приказа комитета об утверждении условий </w:t>
      </w:r>
      <w:r>
        <w:rPr>
          <w:rFonts w:eastAsia="Times New Roman" w:ascii="Times New Roman" w:hAnsi="Times New Roman"/>
          <w:sz w:val="28"/>
          <w:szCs w:val="28"/>
        </w:rPr>
        <w:t xml:space="preserve">проведения аукциона. 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3.2.5. Критерий принятия решения: подписанный председателем комитета приказ о проведении аукциона.</w:t>
      </w:r>
    </w:p>
    <w:p>
      <w:pPr>
        <w:pStyle w:val="Style28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3.2.6. Результат административного действия: извещение, размещенное на официальном сайте Российской Федерации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hyperlink r:id="rId5"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/>
          <w:sz w:val="28"/>
          <w:szCs w:val="28"/>
        </w:rPr>
        <w:t>).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 w:val="false"/>
          <w:bCs w:val="false"/>
          <w:spacing w:val="-4"/>
          <w:sz w:val="28"/>
          <w:szCs w:val="28"/>
        </w:rPr>
        <w:t>3.2.7. Способ фиксации результата исполнения административного действия – извещение о проведении аукциона на официальном сайте Российской Федерации в информационно-телекоммуникационной сети «Интернет» (</w:t>
      </w:r>
      <w:hyperlink r:id="rId6"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 w:val="false"/>
            <w:bCs w:val="false"/>
            <w:color w:val="000000"/>
            <w:spacing w:val="-4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 w:val="false"/>
          <w:bCs w:val="false"/>
          <w:spacing w:val="-4"/>
          <w:sz w:val="28"/>
          <w:szCs w:val="28"/>
        </w:rPr>
        <w:t xml:space="preserve">).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3.3. Регистрация заявок на участие в аукционе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3.3.1. Основанием для начала исполнения административного действия, является поступление ответственному должностному лицу за проведение аукционов заявок с приложениями в запечатанном конверте для участия в аукционе с момента размещения на официальном сайте Российской Федерации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hyperlink r:id="rId7"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/>
          <w:sz w:val="28"/>
          <w:szCs w:val="28"/>
        </w:rPr>
        <w:t xml:space="preserve">) </w:t>
      </w:r>
      <w:r>
        <w:rPr>
          <w:rFonts w:eastAsia="Times New Roman" w:ascii="Times New Roman" w:hAnsi="Times New Roman"/>
          <w:sz w:val="28"/>
          <w:szCs w:val="28"/>
        </w:rPr>
        <w:t>извещения о порядке и условиях проведения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Должностное лицо комитета регистрирует поданные заявки на участие в аукционе в Журнале регистрации входящих документов с указанием</w:t>
      </w:r>
      <w:r>
        <w:rPr>
          <w:rFonts w:eastAsia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на заявке номера, даты и времени поступления.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Регистрация заявок на участие в аукционе осуществляется в течение срока подачи заявок, указанного в извещении о проведении аукциона (не менее 30 дней со дня размещения извещения о проведении аукциона), в день подачи соответствующей заявки.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Какие-либо изменения и дополнения в представленные заявки и прилагаемые документы после даты окончания подачи заявок не вносятся.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3.3.2. Заявитель, подавший заявку на участие в аукционе, вправе отозвать ее в любое время до дня и времени начала рассмотрения заявок.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3.3.3. Заявка, поступившая в комитет после даты окончания срока подачи заявок, а также без приложения документов, подтверждающих оплату заявителем задатка и сбора за участие в аукционе, не рассматривается и в течение 2-х рабочих дней со дня ее регистрации в комитете возвращается ответственным должностным лицом за проведение аукционов заявителю по почте или вручается под роспись.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3.3.4. </w:t>
      </w:r>
      <w:r>
        <w:rPr>
          <w:rFonts w:eastAsia="Times New Roman" w:ascii="Times New Roman" w:hAnsi="Times New Roman"/>
          <w:spacing w:val="-2"/>
          <w:sz w:val="28"/>
          <w:szCs w:val="28"/>
        </w:rPr>
        <w:t>Максимальный срок проведения административного действия – в течение 30 календарных дней со дня опубликования извещения.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pacing w:val="-2"/>
          <w:sz w:val="28"/>
          <w:szCs w:val="28"/>
        </w:rPr>
        <w:t>3.3.5. Критерий</w:t>
      </w:r>
      <w:r>
        <w:rPr>
          <w:rFonts w:eastAsia="Times New Roman" w:ascii="Times New Roman" w:hAnsi="Times New Roman"/>
          <w:sz w:val="28"/>
          <w:szCs w:val="28"/>
        </w:rPr>
        <w:t xml:space="preserve"> принятия решения: представление заявки с приложениями в установленные сроки.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3.3.6. Результат административного действия: зарегистрированная комитетом заявка на участие в аукционе, либо возвращение заявки заявителю по почте или лично под роспись.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3.3.7. Способ фиксации результата исполнения административного              действия – зарегистрированная комитетом заявка на участие в аукцион, либо письмо комитета, зарегистрированное в системе электронного делопроизводства «Дело».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3.4.1. Рассмотрение и прием заявок на участие в аукционе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bookmarkStart w:id="16" w:name="sub_714"/>
      <w:bookmarkStart w:id="17" w:name="sub_72"/>
      <w:bookmarkStart w:id="18" w:name="sub_7131"/>
      <w:bookmarkStart w:id="19" w:name="sub_71211"/>
      <w:bookmarkStart w:id="20" w:name="sub_7121"/>
      <w:bookmarkEnd w:id="16"/>
      <w:bookmarkEnd w:id="17"/>
      <w:bookmarkEnd w:id="18"/>
      <w:bookmarkEnd w:id="19"/>
      <w:bookmarkEnd w:id="20"/>
      <w:r>
        <w:rPr>
          <w:rFonts w:eastAsia="Times New Roman" w:ascii="Times New Roman" w:hAnsi="Times New Roman"/>
          <w:sz w:val="28"/>
          <w:szCs w:val="28"/>
        </w:rPr>
        <w:t>3.4.1.1. Основанием для начала исполнения административного действия, является зарегистрированная в Журнале регистрации входящих документов заявка на участие в аукционе.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Для обеспечения рассмотрения поступивших заявок на участие в аукционе и проведения аукциона комитетом создается аукционная комиссия, организационное обеспечение деятельности которой осуществляется комитетом.</w:t>
      </w:r>
      <w:bookmarkStart w:id="21" w:name="sub_400"/>
      <w:bookmarkEnd w:id="21"/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</w:t>
      </w:r>
      <w:bookmarkStart w:id="22" w:name="sub_41"/>
      <w:r>
        <w:rPr>
          <w:rFonts w:eastAsia="Times New Roman" w:ascii="Times New Roman" w:hAnsi="Times New Roman"/>
          <w:sz w:val="28"/>
          <w:szCs w:val="28"/>
        </w:rPr>
        <w:t xml:space="preserve">.1.2. Аукционная комиссия состоит из председателя, заместителя председателя, секретаря и членов комиссии. Количество членов аукционной комиссии должно составлять не менее 7 и не более 15 человек.  </w:t>
      </w:r>
      <w:bookmarkEnd w:id="22"/>
      <w:r>
        <w:rPr>
          <w:rFonts w:eastAsia="Times New Roman" w:ascii="Times New Roman" w:hAnsi="Times New Roman"/>
          <w:sz w:val="28"/>
          <w:szCs w:val="28"/>
        </w:rPr>
        <w:t xml:space="preserve">Изменение состава аукционной комиссии возможно не позднее 3-х календарных дней до даты проведения заседания аукционной комиссии на основании приказа комитета.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3.4.1.3. Заседания аукционной комиссии правомочны, если на них присутствуют более половины ее членов от списочного состава.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3.4.1.4. Рассмотрение зарегистрированных заявок на участие в аукционе со вскрытием запечатанных конвертов проводится аукционной комиссией в течение 3 рабочих дней, следующих по истечении срока подачи заявок на участие в аукционе, с целью проверки финансовой и технической компетентности заявителя, наличия квалифицированных специалистов, которые будут непосредственно осуществлять работы по освоению участка недр, а также соответствия поданных заявок утвержденному комитетом порядку и условиям проведения аукционов на право пользования участками недр.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3.4.1.5. Решение о допуске заявки на участие в аукционе либо отказе в допуске такой заявки оформляется протоколом в день заседания аукционной комиссии, который подписывается всеми членами аукционной комиссии и в течение 10-ти рабочих дней со дня проведения заседания аукционной комиссии утверждается председателем комитета.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протоколе указываются: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а) все зарегистрированные заявки;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б) все отозванные заявителями заявки;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в) заявки, которые приняты для участия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г) заявки, которые не были приняты для участия в аукционе с указанием основания отказа в принятии заявки.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 даты утверждения протокола о допуске заявки на участие в аукционе заявители становятся участниками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3.4.1.6. Решение о допуске (отказе в допуске) заявки на участие в аукционе в течение 3-х рабочих дней с даты утверждения протокола заседания аукционной комиссии о допуске заявок на участие в аукционе доводится до заявителей в письменной форме заказным письмом с уведомлением или лично под роспись.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Максимальный срок проведения административного действия – в течение 10 рабочих дней с даты регистрации заявки на участие в аукционе в системе электронного делопроизводства «Дело».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3.4.1.7. Критерий принятия решения: достоверность и соответствие прилагаемых к заявке документов требованиям настоящего Административного регламента.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3.4.1.8. Результат административного действия: Решение комитета о приеме заявки на участие в аукционе либо отказе в приеме такой заявки и доведение информации до заявителя.</w:t>
      </w:r>
    </w:p>
    <w:p>
      <w:pPr>
        <w:pStyle w:val="Cef1edeee2edeee9f2e5eaf1f231"/>
        <w:spacing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3.4.1.9. Способ фиксации результата исполнения административного действия – регистрация приказа комитета об утверждении протокола заседания комиссии по рассмотрению заявок на участие в аукционе на право пользования участком недр в журнале регистрации приказов, регистрация уведомлений, направляемых заявителям о результатах рассмотрения заявок в системе электронного делопроизводства «Дело» комитета.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3.4.2. Формирование и н</w:t>
      </w:r>
      <w:r>
        <w:rPr>
          <w:rFonts w:eastAsia="Times New Roman" w:ascii="Times New Roman" w:hAnsi="Times New Roman"/>
          <w:b/>
          <w:sz w:val="28"/>
          <w:szCs w:val="28"/>
          <w:shd w:fill="FFFFFF" w:val="clear"/>
        </w:rPr>
        <w:t>аправление межведомственного запроса (запросов) в органы (организации), участвующие в предоставлении государственной услуги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3.4.2.1. Основанием начала административной процедуры является непредставление заявителем по собственной инициативе документов, изложенных в подпункте 2.7.1. пункта 2.7. настоящего административного регламента.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3.4.2.2. Должностное лицо комитета, ответственное за предоставление государственной услуги, в течение трех рабочих дней с даты получения документов, указанных в подпункте 2.6.1. пункта 2.6. настоящего Административного регламента, направляет запрос в Управление Федерального налоговой службы  по Курской области о представлении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документов, </w:t>
      </w:r>
      <w:r>
        <w:rPr>
          <w:rFonts w:eastAsia="Times New Roman" w:ascii="Times New Roman" w:hAnsi="Times New Roman"/>
          <w:sz w:val="28"/>
          <w:szCs w:val="28"/>
        </w:rPr>
        <w:t>указанных в  подпункте 2.7.1. пункта 2.7. настоящего Административного регламента.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3.4.2.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3. Направление межведомственного запроса осуществляется следующими способами:</w:t>
      </w:r>
    </w:p>
    <w:p>
      <w:pPr>
        <w:pStyle w:val="Normal"/>
        <w:ind w:firstLine="709"/>
        <w:rPr/>
      </w:pPr>
      <w:r>
        <w:rPr>
          <w:rFonts w:eastAsia="Times New Roman" w:ascii="Times New Roman" w:hAnsi="Times New Roman"/>
          <w:sz w:val="28"/>
          <w:szCs w:val="28"/>
        </w:rPr>
        <w:t>почтовым отправлением;</w:t>
      </w:r>
    </w:p>
    <w:p>
      <w:pPr>
        <w:pStyle w:val="C0e1e7e0f6f1efe8f1eae0"/>
        <w:keepNext w:val="true"/>
        <w:widowControl/>
        <w:ind w:lef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курьером, под расписку;</w:t>
      </w:r>
    </w:p>
    <w:p>
      <w:pPr>
        <w:pStyle w:val="C0e1e7e0f6f1efe8f1eae0"/>
        <w:keepNext w:val="true"/>
        <w:widowControl/>
        <w:ind w:lef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 использованием единой системы межведомственного электронного взаимодействия;</w:t>
      </w:r>
    </w:p>
    <w:p>
      <w:pPr>
        <w:pStyle w:val="C0e1e7e0f6f1efe8f1eae0"/>
        <w:keepNext w:val="true"/>
        <w:widowControl/>
        <w:ind w:lef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иными способами, не противоречащими законодательству.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Комитет, оказывающий услугу, определяет способ направления запроса и осуществляет его направление.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3.4.2.4.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3.4.2.5. В соответствии с федеральным законодательством срок подготовки и направления ответа на запрос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ascii="Times New Roman" w:hAnsi="Times New Roman"/>
          <w:sz w:val="28"/>
          <w:szCs w:val="28"/>
        </w:rPr>
        <w:t xml:space="preserve"> не более 5 рабочих дней с момента поступления межведомственного запроса к органу (организации), предоставляющему документ и (или) информацию.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комитете.</w:t>
      </w:r>
    </w:p>
    <w:p>
      <w:pPr>
        <w:pStyle w:val="C0e1e7e0f6f1efe8f1eae0"/>
        <w:keepNext w:val="true"/>
        <w:widowControl/>
        <w:ind w:lef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3.4.2.6. Ответ на запрос регистрируется в установленном порядке.</w:t>
      </w:r>
    </w:p>
    <w:p>
      <w:pPr>
        <w:pStyle w:val="Formattext"/>
        <w:ind w:firstLine="709"/>
        <w:jc w:val="both"/>
        <w:rPr/>
      </w:pPr>
      <w:r>
        <w:rPr>
          <w:sz w:val="28"/>
          <w:szCs w:val="28"/>
        </w:rPr>
        <w:t>3.4.2.</w:t>
      </w:r>
      <w:r>
        <w:rPr>
          <w:sz w:val="28"/>
          <w:szCs w:val="28"/>
          <w:lang w:val="ar-SA"/>
        </w:rPr>
        <w:t>7. При получении ответа на запрос, должностное лицо комитета, приобщает полученный ответ к документам, представленным заявителем</w:t>
      </w:r>
      <w:r>
        <w:rPr>
          <w:rFonts w:eastAsia="Times New Roman"/>
          <w:sz w:val="28"/>
          <w:szCs w:val="28"/>
          <w:lang w:eastAsia="ar-SA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3.4.2.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8. Результат административной процедуры – получение ответа на межведомственный запрос комитета. Способ фиксации результата – регистрация ответа на межведомственный запрос в системе электронного делопроизводства «Дело»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shd w:fill="FFFFFF" w:val="clear"/>
        </w:rPr>
        <w:t>3.4.2.</w:t>
      </w:r>
      <w:r>
        <w:rPr>
          <w:rFonts w:eastAsia="Times New Roman" w:ascii="Times New Roman" w:hAnsi="Times New Roman"/>
          <w:sz w:val="28"/>
          <w:szCs w:val="28"/>
        </w:rPr>
        <w:t xml:space="preserve">9. Критерий принятия решения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ascii="Times New Roman" w:hAnsi="Times New Roman"/>
          <w:sz w:val="28"/>
          <w:szCs w:val="28"/>
        </w:rPr>
        <w:t xml:space="preserve"> отсутствие в предоставленных заявителем документах сведений (документов), указанных в подпункте 2.7.1. пункта 2.7.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3.5. Проведение аукциона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3.5.1. Основанием для начала исполнения административного действия, является наличие допущенных для участия в аукционе заявок с приложениями.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Аукцион проводится аукционной комиссией, которая создается приказом комитета.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Аукционная комиссия состоит из председателя, заместителя председателя, секретаря и членов комиссии. Количество членов аукционной комиссии должно составлять не менее 7 и не более 15 человек.  В состав аукционной комиссии могут включаться представители органов исполнительной власти области и органов местного самоуправления, организаций и учреждений, иных государственных научных организаций.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3.5.2. В день проведения аукциона один из членов аукционной комиссии регистрирует представителей участников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Регистрация участников аукциона или их представителей с надлежаще оформленной доверенностью осуществляется в день проведения аукциона за один час до начала проведения аукциона и заканчивается за пять минут до начала проведения аукциона.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Список зарегистрировавшихся представителей участников аукциона вручается председателю аукционной комиссии.</w:t>
      </w:r>
    </w:p>
    <w:p>
      <w:pPr>
        <w:pStyle w:val="Normal"/>
        <w:ind w:firstLine="709"/>
        <w:jc w:val="both"/>
        <w:rPr/>
      </w:pPr>
      <w:bookmarkStart w:id="23" w:name="sub_122"/>
      <w:bookmarkStart w:id="24" w:name="sub_1221"/>
      <w:bookmarkEnd w:id="23"/>
      <w:bookmarkEnd w:id="24"/>
      <w:r>
        <w:rPr>
          <w:rFonts w:eastAsia="Times New Roman" w:ascii="Times New Roman" w:hAnsi="Times New Roman"/>
          <w:sz w:val="28"/>
          <w:szCs w:val="28"/>
        </w:rPr>
        <w:t>3.5.3. Участники аукциона или их представители, не зарегистрированные в установленном порядке, к участию в аукционе не допускаются.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3.5.4. Аукцион проводится при наличии двух и более заявителей. Победителем аукциона признается его участник, предложивший наибольшую величину разового платежа за право пользования недрами.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3.5.4.1. В случае, если объявленный аукцион признан несостоявшимся в связи с допуском к участию только одного заявителя, комитет принимает решение о предоставлении этому участнику аукциона права пользования недрами на условиях объявленного аукциона с учетом одного шага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3.5.5. Непосредственное проведение аукциона может быть поручено аукционисту, привлекаемому аукционной комиссией, либо избранному из состава аукционной комиссии. </w:t>
      </w:r>
    </w:p>
    <w:p>
      <w:pPr>
        <w:pStyle w:val="Normal"/>
        <w:ind w:firstLine="709"/>
        <w:jc w:val="both"/>
        <w:rPr/>
      </w:pPr>
      <w:bookmarkStart w:id="25" w:name="sub_1231"/>
      <w:bookmarkStart w:id="26" w:name="sub_12311"/>
      <w:bookmarkEnd w:id="25"/>
      <w:bookmarkEnd w:id="26"/>
      <w:r>
        <w:rPr>
          <w:rFonts w:eastAsia="Times New Roman" w:ascii="Times New Roman" w:hAnsi="Times New Roman"/>
          <w:sz w:val="28"/>
          <w:szCs w:val="28"/>
        </w:rPr>
        <w:t>3.5.6. Аукцион проводится в следующем порядке:</w:t>
      </w:r>
      <w:bookmarkStart w:id="27" w:name="sub_123"/>
      <w:bookmarkEnd w:id="27"/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при регистрации участникам аукциона выдаются таблички с присвоенными регистрационными номерами, которые участники поднимают после оглашения очередной величины размера платежа в случае, если они готовы заявить эту сумму;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аукцион начинается с объявления наименования участка недр местного значения, его основных характеристик, основных требований к условиям пользования участком недр местного значения, порядка проведения аукциона и утверждения результатов аукциона, стартового размера разового платежа за пользование недрами и шага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аукционист объявляет стартовый размер разового платежа и каждая последующая сумма, объявляемая на аукционе, должна определяться величиной шага аукциона, установленного в условиях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если после троекратного объявления начальной величины разового платежа ни один из участников аукциона не поднял табличку со своим регистрационным номером, аукцион считается несостоявшимся и объект снимается с аукциона;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если после прохождения 50-го, и/или 100-го, и/или 300-го, и/или 500-го шагов аукцион не завершился, то по решению аукционной комиссии величина шага аукциона может быть установлена в размере 5-10% достигнутого размера разового платежа соответственно при 50-м, и/или 100-м, и/или 300-м, и/или 500-м шаге аукциона. Принятое решение включается в протокол аукционной комиссии;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если после троекратного объявления очередной величины разового платежа ни один из участников не поднял табличку со своим регистрационным номером, аукцион завершается и его победителем признается участник, номер которого был назван последним.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3.5.7. В случае не завершения аукциона до 17 час. 30 мин. объявленного дня проведения аукциона в связи с продолжением поступления предложений от участников аукциона о размере разового платежа за пользование недрами, аукционная комиссия принимает решение о продолжении аукциона с определением очередной даты его проведения.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3.5.8. Аукцион признается несостоявшимся в следующих случаях: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при отсутствии заявок на участие в аукционе;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 участие в аукционе зарегистрирована одна заявка;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 участию в аукционе допущен только один заявитель;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 участию в аукционе не допущены все заявители;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участниками аукциона не предложена величина разового платежа выше стартового размера;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участники аукциона не явились на аукцион.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3.5.9. Участие в аукционе обуславливается внесением задатка, который в течение 5-ти рабочих дней возвращается всем участникам аукциона, за исключением победителя. Задаток победителю аукциона не возвращается, его сумма засчитывается в счет исполнения обязательств по уплате разового платежа за право пользования недрами.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 случаях отзыва заявителем заявки на участие в аукционе до даты проведения аукциона, отмены аукциона или признания аукциона несостоявшимся задаток возвращается заявителю в течение 10 рабочих дней. </w:t>
      </w:r>
    </w:p>
    <w:p>
      <w:pPr>
        <w:pStyle w:val="Normal"/>
        <w:tabs>
          <w:tab w:val="clear" w:pos="709"/>
          <w:tab w:val="left" w:pos="1313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3.5.10. Если победитель аукциона заявит о своем отказе от права пользования участком недр местного значения, комитет в течение 3 рабочих дней со дня получения данного отказа принимает решение об аннулировании итогов аукциона. При этом внесенный победителем аукциона задаток не возвращается.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3.5.11. Решение аукционной комиссии принимается открытым голосованием и считается принятым, если за него проголосовало более половины ее членов от списочного состава. В случае равенства голосов решающим является голос председательствующего на заседании комиссии. Члены аукционной комиссии, не согласные с решением комиссии, могут приложить к протоколу особое мнение о результатах проведенного аукциона. 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3.5.12. Передача членами аукционной комиссии своих полномочий по принятию решений другим ее членам не допускается.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3.5.13. Членами аукционной комиссии не могут быть лица, лично заинтересованные в результатах аукциона, либо лица, аффилированные с участниками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3.5.14. Максимальный срок проведения административного        действия – в течение 2-х рабочих дней с момента начала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3.5.15. Результатом административного действия является аукцион состоявшийся или несостоявшийся.</w:t>
      </w:r>
    </w:p>
    <w:p>
      <w:pPr>
        <w:pStyle w:val="Normal"/>
        <w:tabs>
          <w:tab w:val="clear" w:pos="709"/>
          <w:tab w:val="left" w:pos="878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3.5.16. Способ фиксации результата исполнения административной процедуры </w:t>
      </w:r>
      <w:r>
        <w:rPr>
          <w:rStyle w:val="FontStyle44"/>
          <w:rFonts w:eastAsia="Liberation Serif"/>
          <w:sz w:val="28"/>
          <w:szCs w:val="28"/>
        </w:rPr>
        <w:t>на бумажном носителе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878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3.5.17. Критерии принятия решения является наличие (отсутствие) оснований для отказа в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3.6. Утверждение результатов аукциона и информирование участников аукциона о результатах.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3.6.1. По результатам аукциона аукционной комиссией в день проведения аукциона принимается одно из следующих решений: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 утверждении результатов аукциона и признании победителя указанного аукциона с наделением его правом пользования соответствующим участком недр;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 признании аукциона несостоявшимся по основаниям, указанным в пункте 3.5.8. настоящего Административного регламента;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об отмене аукциона, если выявлены при его проведении нарушения законодательства (в том числе нарушения условий и порядка проведения аукциона), а также на основании судебных актов о признании недействительным решения о проведении аукциона.</w:t>
      </w:r>
    </w:p>
    <w:p>
      <w:pPr>
        <w:pStyle w:val="Normal"/>
        <w:ind w:firstLine="709"/>
        <w:jc w:val="both"/>
        <w:rPr/>
      </w:pPr>
      <w:bookmarkStart w:id="28" w:name="sub_133"/>
      <w:bookmarkStart w:id="29" w:name="sub_1331"/>
      <w:bookmarkEnd w:id="28"/>
      <w:bookmarkEnd w:id="29"/>
      <w:r>
        <w:rPr>
          <w:rFonts w:eastAsia="Times New Roman" w:ascii="Times New Roman" w:hAnsi="Times New Roman"/>
          <w:sz w:val="28"/>
          <w:szCs w:val="28"/>
        </w:rPr>
        <w:t xml:space="preserve">3.6.2. Протокол о результатах аукциона оформляется в день проведения аукциона в 2 экземплярах, подписывается членами аукционной комиссии и в течение 10 календарных дней с даты проведения аукциона утверждается председателем комитета.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3.6.3. Комитет обеспечивает размещение результатов проведения аукциона на официальном сайте Российской Федерации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r>
        <w:rPr>
          <w:rFonts w:eastAsia="Times New Roman" w:ascii="Times New Roman" w:hAnsi="Times New Roman"/>
          <w:b/>
          <w:sz w:val="28"/>
          <w:szCs w:val="28"/>
          <w:lang w:val="en-US"/>
        </w:rPr>
        <w:t>www</w:t>
      </w:r>
      <w:r>
        <w:rPr>
          <w:rFonts w:eastAsia="Times New Roman" w:ascii="Times New Roman" w:hAnsi="Times New Roman"/>
          <w:b/>
          <w:sz w:val="28"/>
          <w:szCs w:val="28"/>
        </w:rPr>
        <w:t>.</w:t>
      </w:r>
      <w:r>
        <w:rPr>
          <w:rFonts w:eastAsia="Times New Roman" w:ascii="Times New Roman" w:hAnsi="Times New Roman"/>
          <w:b/>
          <w:sz w:val="28"/>
          <w:szCs w:val="28"/>
          <w:lang w:val="en-US"/>
        </w:rPr>
        <w:t>torgi</w:t>
      </w:r>
      <w:r>
        <w:rPr>
          <w:rFonts w:eastAsia="Times New Roman" w:ascii="Times New Roman" w:hAnsi="Times New Roman"/>
          <w:b/>
          <w:sz w:val="28"/>
          <w:szCs w:val="28"/>
        </w:rPr>
        <w:t>.</w:t>
      </w:r>
      <w:r>
        <w:rPr>
          <w:rFonts w:eastAsia="Times New Roman" w:ascii="Times New Roman" w:hAnsi="Times New Roman"/>
          <w:b/>
          <w:sz w:val="28"/>
          <w:szCs w:val="28"/>
          <w:lang w:val="en-US"/>
        </w:rPr>
        <w:t>gov</w:t>
      </w:r>
      <w:r>
        <w:rPr>
          <w:rFonts w:eastAsia="Times New Roman" w:ascii="Times New Roman" w:hAnsi="Times New Roman"/>
          <w:b/>
          <w:sz w:val="28"/>
          <w:szCs w:val="28"/>
        </w:rPr>
        <w:t>.</w:t>
      </w:r>
      <w:r>
        <w:rPr>
          <w:rFonts w:eastAsia="Times New Roman" w:ascii="Times New Roman" w:hAnsi="Times New Roman"/>
          <w:b/>
          <w:sz w:val="28"/>
          <w:szCs w:val="28"/>
          <w:lang w:val="en-US"/>
        </w:rPr>
        <w:t>ru</w:t>
      </w:r>
      <w:r>
        <w:rPr>
          <w:rFonts w:eastAsia="Times New Roman" w:ascii="Times New Roman" w:hAnsi="Times New Roman"/>
          <w:b/>
          <w:sz w:val="28"/>
          <w:szCs w:val="28"/>
        </w:rPr>
        <w:t>)</w:t>
      </w:r>
      <w:r>
        <w:rPr>
          <w:rFonts w:eastAsia="Times New Roman" w:ascii="Times New Roman" w:hAnsi="Times New Roman"/>
          <w:sz w:val="28"/>
          <w:szCs w:val="28"/>
        </w:rPr>
        <w:t xml:space="preserve"> не позднее          5-ти календарных дней со дня их утверждения.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Информирование участников аукциона о результатах проведения аукциона осуществляется в письменной форме в течение 10-ти календарных дней со дня их утверждения.</w:t>
      </w:r>
    </w:p>
    <w:p>
      <w:pPr>
        <w:pStyle w:val="Normal"/>
        <w:ind w:firstLine="709"/>
        <w:rPr/>
      </w:pPr>
      <w:bookmarkStart w:id="30" w:name="sub_1332"/>
      <w:bookmarkEnd w:id="30"/>
      <w:r>
        <w:rPr>
          <w:rFonts w:eastAsia="Times New Roman" w:ascii="Times New Roman" w:hAnsi="Times New Roman"/>
          <w:sz w:val="28"/>
          <w:szCs w:val="28"/>
        </w:rPr>
        <w:t>3.6.4. Материалы о проведении аукциона хранятся в комитете.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3.6</w:t>
      </w:r>
      <w:r>
        <w:rPr>
          <w:rFonts w:eastAsia="Times New Roman" w:ascii="Times New Roman" w:hAnsi="Times New Roman"/>
          <w:spacing w:val="-2"/>
          <w:sz w:val="28"/>
          <w:szCs w:val="28"/>
        </w:rPr>
        <w:t>.5. Максимальный срок проведения административного действия – в течение 15-ти</w:t>
      </w:r>
      <w:r>
        <w:rPr>
          <w:rFonts w:eastAsia="Times New Roman" w:ascii="Times New Roman" w:hAnsi="Times New Roman"/>
          <w:sz w:val="28"/>
          <w:szCs w:val="28"/>
        </w:rPr>
        <w:t xml:space="preserve"> календарных дней с даты утверждения протокола о результатах аукциона.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3.6.6. Критерий принятия решения: наибольший размер разового платежа за право пользования участком недр.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3.6.7. Результатом административного действия является протокол аукциона на право пользования участком недр местного значения, утвержденный приказом комитета, размещение результатов аукциона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hyperlink r:id="rId8"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/>
          <w:sz w:val="28"/>
          <w:szCs w:val="28"/>
        </w:rPr>
        <w:t xml:space="preserve">) </w:t>
      </w:r>
      <w:r>
        <w:rPr>
          <w:rFonts w:eastAsia="Times New Roman" w:ascii="Times New Roman" w:hAnsi="Times New Roman"/>
          <w:sz w:val="28"/>
          <w:szCs w:val="28"/>
        </w:rPr>
        <w:t>и информирование участников о результатах аукциона.</w:t>
      </w:r>
    </w:p>
    <w:p>
      <w:pPr>
        <w:pStyle w:val="Normal"/>
        <w:tabs>
          <w:tab w:val="clear" w:pos="709"/>
          <w:tab w:val="left" w:pos="18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3.6.8. Способ фиксации результата исполнения административного действия – регистрация приказа комитета об утверждении  протокола  аукциона на право пользования участком  недр в журнале регистрации приказов, результаты аукциона, размещенные на официальном сайте Российской Федерации в информационно-телекоммуникационной сети «Интернет» </w:t>
      </w:r>
      <w:r>
        <w:rPr>
          <w:rFonts w:eastAsia="Times New Roman" w:ascii="Times New Roman" w:hAnsi="Times New Roman"/>
          <w:b/>
          <w:sz w:val="28"/>
          <w:szCs w:val="28"/>
        </w:rPr>
        <w:t>(</w:t>
      </w:r>
      <w:hyperlink r:id="rId9"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www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torgi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gov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</w:rPr>
          <w:t>.</w:t>
        </w:r>
        <w:r>
          <w:rPr>
            <w:rStyle w:val="C8edf2e5f0ede5f2f1f1fbebeae0"/>
            <w:rFonts w:eastAsia="Times New Roman" w:ascii="Times New Roman" w:hAnsi="Times New Roman"/>
            <w:b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ascii="Times New Roman" w:hAnsi="Times New Roman"/>
          <w:b/>
          <w:sz w:val="28"/>
          <w:szCs w:val="28"/>
        </w:rPr>
        <w:t>)</w:t>
      </w:r>
      <w:r>
        <w:rPr>
          <w:rFonts w:eastAsia="Times New Roman" w:ascii="Times New Roman" w:hAnsi="Times New Roman"/>
          <w:sz w:val="28"/>
          <w:szCs w:val="28"/>
        </w:rPr>
        <w:t xml:space="preserve"> и регистрация исходящих писем комитета участникам аукциона в системе электронного делопроизводства «Дело».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3.7. Порядок исправления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3.7.1.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государственной услуги, об исправлении допущенных опечаток и ошибок в выданных в результате предоставления государственной услуги документах в комитет. </w:t>
      </w:r>
    </w:p>
    <w:p>
      <w:pPr>
        <w:pStyle w:val="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3.7.2.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</w:t>
      </w:r>
    </w:p>
    <w:p>
      <w:pPr>
        <w:pStyle w:val="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3.7.3. Критерием принятия решения является наличие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3.7.4. Результатом административной процедуры является исправление допущенных должностным лицом комитета опечаток и (или)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>
      <w:pPr>
        <w:pStyle w:val="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3.7.5.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Способ фиксации результата выполнения административной процедуры – регистрация в реестре государственной регистрации исходящих писем в системе электронного делопроизводства «Дело».</w:t>
      </w:r>
    </w:p>
    <w:p>
      <w:pPr>
        <w:pStyle w:val="Normal"/>
        <w:widowControl/>
        <w:tabs>
          <w:tab w:val="clear" w:pos="709"/>
          <w:tab w:val="left" w:pos="1809" w:leader="none"/>
        </w:tabs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3.7.6.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>
      <w:pPr>
        <w:pStyle w:val="Normal"/>
        <w:ind w:firstLine="720"/>
        <w:jc w:val="center"/>
        <w:rPr>
          <w:rFonts w:ascii="Times New Roman" w:hAnsi="Times New Roman" w:eastAsia="Times New Roman"/>
          <w:b/>
          <w:b/>
          <w:sz w:val="28"/>
          <w:szCs w:val="28"/>
          <w:lang w:val="en-US"/>
        </w:rPr>
      </w:pPr>
      <w:r>
        <w:rPr/>
      </w:r>
    </w:p>
    <w:p>
      <w:pPr>
        <w:pStyle w:val="Normal"/>
        <w:ind w:firstLine="72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eastAsia="Times New Roman"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>
      <w:pPr>
        <w:pStyle w:val="Normal"/>
        <w:ind w:firstLine="72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Cef1edeee2edeee9f2e5eaf1f2"/>
        <w:spacing w:before="0" w:after="0"/>
        <w:ind w:firstLine="709"/>
        <w:jc w:val="both"/>
        <w:rPr>
          <w:spacing w:val="-6"/>
        </w:rPr>
      </w:pPr>
      <w:r>
        <w:rPr>
          <w:rFonts w:eastAsia="Times New Roman" w:ascii="Times New Roman" w:hAnsi="Times New Roman"/>
          <w:b/>
          <w:spacing w:val="-6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4.1.1.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4.1.2. О случаях и причинах нарушения сроков и содержания административных процедур ответственные за их осуществление должностные лица комитета немедленно информируют своих непосредственных руководителей.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4.1.3. Контроль за принятием решений должностными лицами комитета осуществляется председателем комитета или заместителем председателя комитета, курирующим вопросы предоставления государственной услуги.</w:t>
      </w:r>
    </w:p>
    <w:p>
      <w:pPr>
        <w:pStyle w:val="ConsPlus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4.1.4. Периодичность осуществления текущего контроля устанавливается председателем комитета или заместителем председателя комитета, курирующим вопросы предоставления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проверок, полноты и качества предоставления государственной услуги, в том числе порядок и формы контроля над полнотой и качеством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4.2.1.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4.2.2. Проверки полноты и качества предоставления государственной услуги осуществляются на основании приказов комитета.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4.2.3. Проверки могут быть плановыми (осуществляться на основании годовых планов работы) и внеплановыми.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>
      <w:pPr>
        <w:pStyle w:val="ConsPlusNormal"/>
        <w:widowControl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4.2.4. а) Плановые проверки полноты и качества предоставления государственной услуги проводятся в соответствии с годовыми планами работы комитета.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б) Внеплановые проверки полноты и качества предоставления государственной услуги проводятся на основании жалоб (обращений) заявителей на решения или действия (бездействие) должностных лиц комитета, принятые или осуществленные в ходе предоставления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4.2.5. Для проведения проверки полноты и качества предоставления государственной услуги формируется комиссия, в состав которой включаются должностные лица комитета, ответственные за организацию работы по предоставлению данной государственной услуги.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4.2.6. </w:t>
      </w:r>
      <w:r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>
        <w:rPr>
          <w:rFonts w:ascii="Times New Roman" w:hAnsi="Times New Roman"/>
          <w:spacing w:val="2"/>
          <w:sz w:val="28"/>
          <w:szCs w:val="28"/>
        </w:rPr>
        <w:t>статьей 5.63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или признаков состава преступления комиссия незамедлительно направляет соответствующие материалы в органы прокуратуры.</w:t>
      </w:r>
      <w:bookmarkStart w:id="31" w:name="_Hlk45017749"/>
      <w:bookmarkEnd w:id="31"/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4.3. Ответственность должностных лиц комитета, предоставляющего государственную услугу, за решения и действия (бездействия), принимаемые (осуществляемые) в ходе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4.3.1. Должностные лица, ответственные за решения и действия (бездействие), принимаемые (осуществляемые) в ходе предоставления государственной услуги, несут дисциплинарную ответственность в порядке, предусмотренном законодательством Российской Федерации и Курской области.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4.3.2. Персональная ответственность должностных лиц комитета закрепляется в их должностных регламентах в соответствии с требованиями законодательства.</w:t>
      </w:r>
    </w:p>
    <w:p>
      <w:pPr>
        <w:pStyle w:val="ConsPlus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Граждане, их объединения и организации вправе: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направлять замечания и предложения по улучшению доступности качества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>
      <w:pPr>
        <w:pStyle w:val="Normal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140"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eastAsia="Times New Roman" w:ascii="Times New Roman" w:hAnsi="Times New Roman"/>
          <w:b/>
          <w:sz w:val="28"/>
          <w:szCs w:val="28"/>
        </w:rPr>
        <w:t>. Досудебный (внесудебный) порядок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а также организаций, предусмотренных частью 1.1</w:t>
      </w:r>
    </w:p>
    <w:p>
      <w:pPr>
        <w:pStyle w:val="Normal"/>
        <w:shd w:val="clear" w:color="auto" w:fill="FFFFFF"/>
        <w:ind w:right="140"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</w:rPr>
        <w:t>статьи 16 Федерального закона</w:t>
      </w:r>
    </w:p>
    <w:p>
      <w:pPr>
        <w:pStyle w:val="Normal"/>
        <w:shd w:val="clear" w:color="auto" w:fill="FFFFFF"/>
        <w:ind w:right="140"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</w:rPr>
        <w:t>(далее – привлекаемые организации), или их работников</w:t>
      </w:r>
    </w:p>
    <w:p>
      <w:pPr>
        <w:pStyle w:val="Normal"/>
        <w:ind w:firstLine="709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Заявитель имеет право подать жалобу на решения и действия (бездействия) комитета, должностного лица комитета, либо государственного служащего при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Заявитель имеет право направить жалобу в том числе посредством федеральной государственной информационной системы «Единый портал государственных и муниципальных услуг (функций)» http://gosuslugi.ru.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5.2. Способы информирования заявителей о порядке подачи и рассмотрения жалобы, в том числе с использованием Единого портала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на официальном сайте комитета, предоставляющего государственную услугу, осуществляется, в том числе по телефону, электронной почте, при личном приеме.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5.3. Органы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Жалоба может быть направлена в: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Администрацию Курской области;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комитет.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Жалобы рассматривают: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Администрации Курской области – заместитель Губернатора Курской области, в ведении которого находится комитет;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 комитете – председатель комитета, заместитель председателя комитета, уполномоченные на рассмотрение жалоб должностные лица комитета.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комитета, предоставляющего государственную услугу, а также его должностных лиц, регулируется: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1. 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Постановлением Администрации Курской области от 19.12. 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центра».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Информация о досудебном (внесудебном) порядке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размещена на Едином портале по адресу: </w:t>
      </w:r>
      <w:hyperlink r:id="rId10">
        <w:r>
          <w:rPr>
            <w:rStyle w:val="Style14"/>
            <w:rFonts w:eastAsia="Liberation Serif" w:ascii="Times New Roman" w:hAnsi="Times New Roman"/>
            <w:color w:val="000000"/>
            <w:sz w:val="28"/>
            <w:szCs w:val="28"/>
          </w:rPr>
          <w:t>https://www.gosuslugi.ru</w:t>
        </w:r>
      </w:hyperlink>
      <w:r>
        <w:rPr>
          <w:rStyle w:val="Style14"/>
          <w:rFonts w:eastAsia="Liberation Serif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ind w:firstLine="709"/>
        <w:jc w:val="both"/>
        <w:rPr/>
      </w:pPr>
      <w:r>
        <w:rPr/>
      </w:r>
      <w:r>
        <w:br w:type="page"/>
      </w:r>
    </w:p>
    <w:p>
      <w:pPr>
        <w:pStyle w:val="Normal"/>
        <w:ind w:firstLine="720"/>
        <w:jc w:val="right"/>
        <w:rPr/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ConsPlusTitle"/>
        <w:tabs>
          <w:tab w:val="clear" w:pos="709"/>
          <w:tab w:val="left" w:pos="19980" w:leader="none"/>
        </w:tabs>
        <w:ind w:left="4876" w:hanging="0"/>
        <w:jc w:val="both"/>
        <w:rPr/>
      </w:pPr>
      <w:r>
        <w:rPr>
          <w:rFonts w:eastAsia="Times New Roman"/>
          <w:b w:val="false"/>
          <w:sz w:val="28"/>
          <w:szCs w:val="28"/>
          <w:lang w:eastAsia="ar-SA"/>
        </w:rPr>
        <w:t xml:space="preserve">к Административному регламенту предоставления комитетом природных ресурсов Курской области государственной услуги «Организация и проведение аукционов на право пользования участками недр местного значения на территории Курской области» </w:t>
      </w:r>
    </w:p>
    <w:p>
      <w:pPr>
        <w:pStyle w:val="Normal"/>
        <w:ind w:firstLine="54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sz w:val="28"/>
          <w:szCs w:val="28"/>
        </w:rPr>
        <w:t>ОБРАЗЕЦ ЗАЯВКИ НА УЧАСТИЕ В АУКЦИОНЕ</w:t>
      </w:r>
    </w:p>
    <w:p>
      <w:pPr>
        <w:pStyle w:val="ConsPlusNonformat"/>
        <w:widowControl/>
        <w:jc w:val="right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Председателю </w:t>
      </w:r>
    </w:p>
    <w:p>
      <w:pPr>
        <w:pStyle w:val="ConsPlusNonformat"/>
        <w:widowControl/>
        <w:jc w:val="right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комитета природных ресурсов</w:t>
      </w:r>
    </w:p>
    <w:p>
      <w:pPr>
        <w:pStyle w:val="ConsPlusNonformat"/>
        <w:widowControl/>
        <w:jc w:val="right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Курской области</w:t>
      </w:r>
    </w:p>
    <w:p>
      <w:pPr>
        <w:pStyle w:val="ConsPlusNonformat"/>
        <w:widowControl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</w:t>
      </w:r>
    </w:p>
    <w:p>
      <w:pPr>
        <w:pStyle w:val="ConsPlusNonformat"/>
        <w:widowControl/>
        <w:jc w:val="right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                          </w:t>
      </w:r>
    </w:p>
    <w:p>
      <w:pPr>
        <w:pStyle w:val="ConsPlusNonformat"/>
        <w:widowControl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ЗАЯВКА НА УЧАСТИЕ В АУКЦИОНЕ</w:t>
      </w:r>
    </w:p>
    <w:p>
      <w:pPr>
        <w:pStyle w:val="ConsPlusNonformat"/>
        <w:widowControl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на право пользования участком недр местного значения в целях ________________________________________________________________</w:t>
      </w:r>
    </w:p>
    <w:p>
      <w:pPr>
        <w:pStyle w:val="ConsPlusNonformat"/>
        <w:widowControl/>
        <w:jc w:val="center"/>
        <w:rPr/>
      </w:pPr>
      <w:r>
        <w:rPr>
          <w:rFonts w:eastAsia="Times New Roman" w:ascii="Times New Roman" w:hAnsi="Times New Roman"/>
          <w:sz w:val="24"/>
          <w:lang w:eastAsia="ar-SA"/>
        </w:rPr>
        <w:t>(указываются целевое назначение работ на участке недр, наименование участка недр, район Курской области, на территории которого этот участок расположен)</w:t>
      </w:r>
    </w:p>
    <w:p>
      <w:pPr>
        <w:pStyle w:val="ConsPlusNonformat"/>
        <w:widowControl/>
        <w:rPr>
          <w:rFonts w:ascii="Times New Roman" w:hAnsi="Times New Roman" w:eastAsia="Times New Roman"/>
          <w:sz w:val="12"/>
          <w:lang w:eastAsia="ar-SA"/>
        </w:rPr>
      </w:pPr>
      <w:r>
        <w:rPr>
          <w:rFonts w:eastAsia="Times New Roman" w:ascii="Times New Roman" w:hAnsi="Times New Roman"/>
          <w:sz w:val="12"/>
          <w:lang w:eastAsia="ar-SA"/>
        </w:rPr>
      </w:r>
    </w:p>
    <w:p>
      <w:pPr>
        <w:pStyle w:val="ConsPlusNonformat"/>
        <w:widowControl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Заявитель</w:t>
      </w:r>
      <w:r>
        <w:rPr>
          <w:rFonts w:eastAsia="Times New Roman" w:ascii="Times New Roman" w:hAnsi="Times New Roman"/>
          <w:sz w:val="24"/>
          <w:lang w:eastAsia="ar-SA"/>
        </w:rPr>
        <w:t xml:space="preserve"> ________________________________________________________________________</w:t>
      </w:r>
    </w:p>
    <w:p>
      <w:pPr>
        <w:pStyle w:val="ConsPlusNonformat"/>
        <w:widowControl/>
        <w:jc w:val="center"/>
        <w:rPr/>
      </w:pPr>
      <w:r>
        <w:rPr>
          <w:rFonts w:eastAsia="Times New Roman" w:ascii="Times New Roman" w:hAnsi="Times New Roman"/>
          <w:sz w:val="24"/>
          <w:lang w:eastAsia="ar-SA"/>
        </w:rPr>
        <w:t>(полное официальное наименование заявителя, если заявка подается от простого товарищества, то перечисляются все его участники; адрес, ОГРН, ИНН и банковские реквизиты)</w:t>
      </w:r>
    </w:p>
    <w:p>
      <w:pPr>
        <w:pStyle w:val="ConsPlusNonformat"/>
        <w:widowControl/>
        <w:jc w:val="center"/>
        <w:rPr>
          <w:rFonts w:ascii="Times New Roman" w:hAnsi="Times New Roman" w:eastAsia="Times New Roman"/>
          <w:sz w:val="16"/>
          <w:lang w:eastAsia="ar-SA"/>
        </w:rPr>
      </w:pPr>
      <w:r>
        <w:rPr>
          <w:rFonts w:eastAsia="Times New Roman" w:ascii="Times New Roman" w:hAnsi="Times New Roman"/>
          <w:sz w:val="16"/>
          <w:lang w:eastAsia="ar-SA"/>
        </w:rPr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извещает о своем желании принять участие в аукционе на право пользования участками недр местного значения с целью</w:t>
      </w:r>
      <w:r>
        <w:rPr>
          <w:rFonts w:eastAsia="Times New Roman" w:ascii="Times New Roman" w:hAnsi="Times New Roman"/>
          <w:sz w:val="24"/>
          <w:lang w:eastAsia="ar-SA"/>
        </w:rPr>
        <w:t xml:space="preserve"> ________________________________________________________________________</w:t>
      </w:r>
    </w:p>
    <w:p>
      <w:pPr>
        <w:pStyle w:val="ConsPlusNonformat"/>
        <w:widowControl/>
        <w:jc w:val="center"/>
        <w:rPr/>
      </w:pPr>
      <w:r>
        <w:rPr>
          <w:rFonts w:eastAsia="Times New Roman" w:ascii="Times New Roman" w:hAnsi="Times New Roman"/>
          <w:sz w:val="24"/>
          <w:lang w:eastAsia="ar-SA"/>
        </w:rPr>
        <w:t>(указываются целевое назначение работ на участке недр, наименование участка недр, район Курской области, на территории которого этот участок расположен)</w:t>
      </w:r>
    </w:p>
    <w:p>
      <w:pPr>
        <w:pStyle w:val="ConsPlusNonformat"/>
        <w:widowControl/>
        <w:jc w:val="center"/>
        <w:rPr>
          <w:rFonts w:ascii="Times New Roman" w:hAnsi="Times New Roman" w:eastAsia="Times New Roman"/>
          <w:sz w:val="12"/>
          <w:lang w:eastAsia="ar-SA"/>
        </w:rPr>
      </w:pPr>
      <w:r>
        <w:rPr>
          <w:rFonts w:eastAsia="Times New Roman" w:ascii="Times New Roman" w:hAnsi="Times New Roman"/>
          <w:sz w:val="12"/>
          <w:lang w:eastAsia="ar-SA"/>
        </w:rPr>
      </w:r>
    </w:p>
    <w:p>
      <w:pPr>
        <w:pStyle w:val="ConsPlusNonformat"/>
        <w:widowControl/>
        <w:jc w:val="center"/>
        <w:rPr>
          <w:rFonts w:ascii="Times New Roman" w:hAnsi="Times New Roman" w:eastAsia="Times New Roman"/>
          <w:sz w:val="4"/>
          <w:lang w:eastAsia="ar-SA"/>
        </w:rPr>
      </w:pPr>
      <w:r>
        <w:rPr>
          <w:rFonts w:eastAsia="Times New Roman" w:ascii="Times New Roman" w:hAnsi="Times New Roman"/>
          <w:sz w:val="4"/>
          <w:lang w:eastAsia="ar-SA"/>
        </w:rPr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который состоится «___» ______ 20___ года в г. ______________ на условиях, утвержденных </w:t>
      </w:r>
      <w:r>
        <w:rPr>
          <w:rFonts w:eastAsia="Times New Roman" w:ascii="Times New Roman" w:hAnsi="Times New Roman"/>
          <w:sz w:val="24"/>
          <w:lang w:eastAsia="ar-SA"/>
        </w:rPr>
        <w:t>___________________________________________________________________________.</w:t>
      </w:r>
    </w:p>
    <w:p>
      <w:pPr>
        <w:pStyle w:val="ConsPlusNonformat"/>
        <w:widowControl/>
        <w:jc w:val="center"/>
        <w:rPr/>
      </w:pPr>
      <w:r>
        <w:rPr>
          <w:rFonts w:eastAsia="Times New Roman" w:ascii="Times New Roman" w:hAnsi="Times New Roman"/>
          <w:sz w:val="24"/>
          <w:lang w:eastAsia="ar-SA"/>
        </w:rPr>
        <w:t>(указывается наименование органа, утвердившего условия аукциона)</w:t>
      </w:r>
    </w:p>
    <w:p>
      <w:pPr>
        <w:pStyle w:val="ConsPlusNonformat"/>
        <w:widowControl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Заявитель </w:t>
      </w:r>
      <w:r>
        <w:rPr>
          <w:rFonts w:eastAsia="Times New Roman" w:ascii="Times New Roman" w:hAnsi="Times New Roman"/>
          <w:sz w:val="24"/>
          <w:lang w:eastAsia="ar-SA"/>
        </w:rPr>
        <w:t>_______________________________________________________________</w:t>
      </w:r>
    </w:p>
    <w:p>
      <w:pPr>
        <w:pStyle w:val="ConsPlusNonformat"/>
        <w:widowControl/>
        <w:rPr/>
      </w:pPr>
      <w:r>
        <w:rPr>
          <w:rFonts w:eastAsia="Courier New"/>
          <w:sz w:val="24"/>
        </w:rPr>
        <w:t xml:space="preserve">                           </w:t>
      </w:r>
      <w:r>
        <w:rPr>
          <w:rFonts w:eastAsia="Times New Roman" w:ascii="Times New Roman" w:hAnsi="Times New Roman"/>
          <w:sz w:val="24"/>
          <w:lang w:eastAsia="ar-SA"/>
        </w:rPr>
        <w:t>(наименование заявителя)</w:t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принимает на себя обязательства по безусловному выполнению правил участия в аукционе в соответствии с условиями аукциона на право пользования недрами с целью</w:t>
      </w:r>
      <w:r>
        <w:rPr>
          <w:sz w:val="24"/>
          <w:lang w:val="ar-SA"/>
        </w:rPr>
        <w:t xml:space="preserve"> </w:t>
      </w:r>
      <w:r>
        <w:rPr>
          <w:rFonts w:eastAsia="Times New Roman" w:ascii="Times New Roman" w:hAnsi="Times New Roman"/>
          <w:sz w:val="24"/>
          <w:lang w:eastAsia="ar-SA"/>
        </w:rPr>
        <w:t>___________________________________________________________________________</w:t>
      </w:r>
      <w:r>
        <w:rPr>
          <w:sz w:val="24"/>
          <w:lang w:val="ar-SA"/>
        </w:rPr>
        <w:t xml:space="preserve"> </w:t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Заявитель </w:t>
      </w:r>
      <w:r>
        <w:rPr>
          <w:rFonts w:eastAsia="Times New Roman" w:ascii="Times New Roman" w:hAnsi="Times New Roman"/>
          <w:sz w:val="24"/>
          <w:lang w:eastAsia="ar-SA"/>
        </w:rPr>
        <w:t>______________________________________________________________</w:t>
      </w:r>
    </w:p>
    <w:p>
      <w:pPr>
        <w:pStyle w:val="ConsPlusNonformat"/>
        <w:widowControl/>
        <w:jc w:val="center"/>
        <w:rPr/>
      </w:pPr>
      <w:r>
        <w:rPr>
          <w:rFonts w:eastAsia="Times New Roman" w:ascii="Times New Roman" w:hAnsi="Times New Roman"/>
          <w:sz w:val="24"/>
          <w:lang w:eastAsia="ar-SA"/>
        </w:rPr>
        <w:t>(наименование заявителя)</w:t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выражает согласие с условиями пользования недрами и в случае признания его победителем в аукционе согласен на включение их в состав лицензии на пользование участком недр.</w:t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Перечень прилагаемых документов:</w:t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1. Сведения о заявителе в 1 экз. (в запечатанном конверте).</w:t>
      </w:r>
    </w:p>
    <w:p>
      <w:pPr>
        <w:pStyle w:val="ConsPlusNonformat"/>
        <w:widowControl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 Заверенные копии платежных поручений об оплате сбора за участие в аукционе и задатка разового платежа.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sz w:val="26"/>
        </w:rPr>
        <w:t xml:space="preserve">                              </w:t>
      </w:r>
    </w:p>
    <w:p>
      <w:pPr>
        <w:pStyle w:val="Cef1edeee2edeee9f2e5eaf1f2"/>
        <w:spacing w:before="0" w:after="0"/>
        <w:rPr/>
      </w:pPr>
      <w:r>
        <w:rPr>
          <w:sz w:val="26"/>
        </w:rPr>
        <w:t xml:space="preserve">   </w:t>
      </w:r>
      <w:r>
        <w:rPr>
          <w:rFonts w:eastAsia="Times New Roman" w:ascii="Times New Roman" w:hAnsi="Times New Roman"/>
          <w:sz w:val="26"/>
        </w:rPr>
        <w:t xml:space="preserve">   </w:t>
      </w:r>
    </w:p>
    <w:p>
      <w:pPr>
        <w:pStyle w:val="Cef1edeee2edeee9f2e5eaf1f2"/>
        <w:spacing w:before="0" w:after="0"/>
        <w:rPr/>
      </w:pPr>
      <w:r>
        <w:rPr>
          <w:rFonts w:eastAsia="Times New Roman" w:ascii="Times New Roman" w:hAnsi="Times New Roman"/>
          <w:sz w:val="28"/>
          <w:szCs w:val="28"/>
        </w:rPr>
        <w:t xml:space="preserve">(должность, Ф.И.О.)              (подпись)   </w:t>
      </w:r>
      <w:r>
        <w:rPr>
          <w:rFonts w:eastAsia="Times New Roman" w:ascii="Times New Roman" w:hAnsi="Times New Roman"/>
          <w:color w:val="FFFFFF"/>
          <w:sz w:val="28"/>
          <w:szCs w:val="28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</w:rPr>
        <w:t>«___» _____________ 20___ г.</w:t>
      </w:r>
      <w:r>
        <w:rPr>
          <w:rFonts w:eastAsia="Times New Roman" w:ascii="Times New Roman" w:hAnsi="Times New Roman"/>
        </w:rPr>
        <w:t xml:space="preserve">                                                               </w:t>
      </w:r>
    </w:p>
    <w:p>
      <w:pPr>
        <w:pStyle w:val="Cef1edeee2edeee9f2e5eaf1f2"/>
        <w:spacing w:before="0" w:after="0"/>
        <w:rPr/>
      </w:pPr>
      <w:r>
        <w:rPr/>
      </w:r>
    </w:p>
    <w:p>
      <w:pPr>
        <w:pStyle w:val="Cef1edeee2edeee9f2e5eaf1f2"/>
        <w:spacing w:before="0" w:after="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М.П. </w:t>
      </w:r>
      <w:r>
        <w:rPr>
          <w:rFonts w:eastAsia="Times New Roman" w:ascii="Times New Roman" w:hAnsi="Times New Roman"/>
          <w:sz w:val="20"/>
        </w:rPr>
        <w:t>(при наличии)</w:t>
      </w:r>
    </w:p>
    <w:sectPr>
      <w:headerReference w:type="default" r:id="rId11"/>
      <w:headerReference w:type="first" r:id="rId12"/>
      <w:type w:val="nextPage"/>
      <w:pgSz w:w="11906" w:h="16838"/>
      <w:pgMar w:left="1701" w:right="1134" w:header="585" w:top="13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2e5f0f5ede8e9eaeeebeeedf2e8f2f3eb"/>
      <w:jc w:val="center"/>
      <w:rPr/>
    </w:pPr>
    <w:r>
      <w:rPr>
        <w:rFonts w:eastAsia="Times New Roman"/>
      </w:rPr>
      <w:fldChar w:fldCharType="begin"/>
    </w:r>
    <w:r>
      <w:rPr>
        <w:rFonts w:eastAsia="Times New Roman"/>
      </w:rPr>
      <w:instrText> PAGE </w:instrText>
    </w:r>
    <w:r>
      <w:rPr>
        <w:rFonts w:eastAsia="Times New Roman"/>
      </w:rPr>
      <w:fldChar w:fldCharType="separate"/>
    </w:r>
    <w:r>
      <w:rPr>
        <w:rFonts w:eastAsia="Times New Roman"/>
      </w:rPr>
      <w:t>0</w:t>
    </w:r>
    <w:r>
      <w:rPr>
        <w:rFonts w:eastAsia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5877"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Times New Roman"/>
      <w:color w:val="000000"/>
      <w:kern w:val="0"/>
      <w:sz w:val="24"/>
      <w:szCs w:val="24"/>
      <w:highlight w:val="white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0"/>
    <w:uiPriority w:val="9"/>
    <w:qFormat/>
    <w:rsid w:val="00a3587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10"/>
    <w:uiPriority w:val="9"/>
    <w:qFormat/>
    <w:rsid w:val="00a35877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a3587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a3587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a3587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210"/>
    <w:uiPriority w:val="9"/>
    <w:qFormat/>
    <w:rsid w:val="00a3587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a3587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a3587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a35877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a35877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a35877"/>
    <w:rPr>
      <w:sz w:val="24"/>
      <w:szCs w:val="24"/>
    </w:rPr>
  </w:style>
  <w:style w:type="character" w:styleId="QuoteChar" w:customStyle="1">
    <w:name w:val="Quote Char"/>
    <w:uiPriority w:val="29"/>
    <w:qFormat/>
    <w:rsid w:val="00a35877"/>
    <w:rPr>
      <w:i/>
    </w:rPr>
  </w:style>
  <w:style w:type="character" w:styleId="IntenseQuoteChar" w:customStyle="1">
    <w:name w:val="Intense Quote Char"/>
    <w:uiPriority w:val="30"/>
    <w:qFormat/>
    <w:rsid w:val="00a35877"/>
    <w:rPr>
      <w:i/>
    </w:rPr>
  </w:style>
  <w:style w:type="character" w:styleId="HeaderChar" w:customStyle="1">
    <w:name w:val="Header Char"/>
    <w:basedOn w:val="DefaultParagraphFont"/>
    <w:uiPriority w:val="99"/>
    <w:qFormat/>
    <w:rsid w:val="00a35877"/>
    <w:rPr/>
  </w:style>
  <w:style w:type="character" w:styleId="FooterChar" w:customStyle="1">
    <w:name w:val="Footer Char"/>
    <w:basedOn w:val="DefaultParagraphFont"/>
    <w:uiPriority w:val="99"/>
    <w:qFormat/>
    <w:rsid w:val="00a35877"/>
    <w:rPr/>
  </w:style>
  <w:style w:type="character" w:styleId="Style14">
    <w:name w:val="Интернет-ссылка"/>
    <w:qFormat/>
    <w:rsid w:val="00a35877"/>
    <w:rPr>
      <w:rFonts w:eastAsia="Times New Roman"/>
      <w:color w:val="0000FF"/>
      <w:u w:val="single"/>
    </w:rPr>
  </w:style>
  <w:style w:type="character" w:styleId="FootnoteTextChar" w:customStyle="1">
    <w:name w:val="Footnote Text Char"/>
    <w:uiPriority w:val="99"/>
    <w:qFormat/>
    <w:rsid w:val="00a35877"/>
    <w:rPr>
      <w:sz w:val="18"/>
    </w:rPr>
  </w:style>
  <w:style w:type="character" w:styleId="Style15" w:customStyle="1">
    <w:name w:val="Привязка сноски"/>
    <w:rsid w:val="00a35877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a35877"/>
    <w:rPr>
      <w:vertAlign w:val="superscript"/>
    </w:rPr>
  </w:style>
  <w:style w:type="character" w:styleId="C8edf2e5f0ede5f2f1f1fbebeae0" w:customStyle="1">
    <w:name w:val="Иc8нedтf2еe5рf0нedеe5тf2-сf1сf1ыfbлebкeaаe0"/>
    <w:qFormat/>
    <w:rsid w:val="00a35877"/>
    <w:rPr>
      <w:color w:val="0000FF"/>
      <w:u w:val="single"/>
    </w:rPr>
  </w:style>
  <w:style w:type="character" w:styleId="Cfeef1e5f9b8edede0ffe3e8efe5f0f1f1fbebeae0" w:customStyle="1">
    <w:name w:val="Пcfоeeсf1еe5щf9ёb8нedнedаe0яff гe3иe8пefеe5рf0сf1сf1ыfbлebкeaаe0"/>
    <w:qFormat/>
    <w:rsid w:val="00a35877"/>
    <w:rPr>
      <w:color w:val="0000FF"/>
      <w:u w:val="single"/>
    </w:rPr>
  </w:style>
  <w:style w:type="character" w:styleId="FontStyle44" w:customStyle="1">
    <w:name w:val="Font Style44"/>
    <w:qFormat/>
    <w:rsid w:val="00a35877"/>
    <w:rPr>
      <w:rFonts w:ascii="Times New Roman" w:hAnsi="Times New Roman" w:eastAsia="Times New Roman"/>
      <w:sz w:val="26"/>
    </w:rPr>
  </w:style>
  <w:style w:type="character" w:styleId="Style16" w:customStyle="1">
    <w:name w:val="Текст выноски Знак"/>
    <w:qFormat/>
    <w:rsid w:val="00a35877"/>
    <w:rPr>
      <w:rFonts w:ascii="Segoe UI" w:hAnsi="Segoe UI" w:eastAsia="Mangal"/>
      <w:color w:val="000000"/>
      <w:sz w:val="16"/>
      <w:lang w:eastAsia="hi-IN"/>
    </w:rPr>
  </w:style>
  <w:style w:type="paragraph" w:styleId="Style17" w:customStyle="1">
    <w:name w:val="Заголовок"/>
    <w:basedOn w:val="Normal"/>
    <w:next w:val="Style18"/>
    <w:qFormat/>
    <w:rsid w:val="00a35877"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rsid w:val="00a35877"/>
    <w:pPr>
      <w:spacing w:lineRule="auto" w:line="288" w:before="0" w:after="140"/>
    </w:pPr>
    <w:rPr/>
  </w:style>
  <w:style w:type="paragraph" w:styleId="Style19">
    <w:name w:val="List"/>
    <w:basedOn w:val="Style18"/>
    <w:rsid w:val="00a35877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Style17"/>
    <w:link w:val="1"/>
    <w:uiPriority w:val="9"/>
    <w:qFormat/>
    <w:rsid w:val="00a35877"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Style17"/>
    <w:uiPriority w:val="9"/>
    <w:unhideWhenUsed/>
    <w:qFormat/>
    <w:rsid w:val="00a35877"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Style17"/>
    <w:uiPriority w:val="9"/>
    <w:unhideWhenUsed/>
    <w:qFormat/>
    <w:rsid w:val="00a35877"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Style17"/>
    <w:uiPriority w:val="9"/>
    <w:unhideWhenUsed/>
    <w:qFormat/>
    <w:rsid w:val="00a35877"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Style17"/>
    <w:uiPriority w:val="9"/>
    <w:unhideWhenUsed/>
    <w:qFormat/>
    <w:rsid w:val="00a35877"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Style17"/>
    <w:uiPriority w:val="9"/>
    <w:unhideWhenUsed/>
    <w:qFormat/>
    <w:rsid w:val="00a35877"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Style17"/>
    <w:uiPriority w:val="9"/>
    <w:unhideWhenUsed/>
    <w:qFormat/>
    <w:rsid w:val="00a35877"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Style17"/>
    <w:uiPriority w:val="9"/>
    <w:unhideWhenUsed/>
    <w:qFormat/>
    <w:rsid w:val="00a35877"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Style17"/>
    <w:uiPriority w:val="9"/>
    <w:unhideWhenUsed/>
    <w:qFormat/>
    <w:rsid w:val="00a35877"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" w:customStyle="1">
    <w:name w:val="Название объекта1"/>
    <w:basedOn w:val="Normal"/>
    <w:qFormat/>
    <w:rsid w:val="00a35877"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rsid w:val="00a35877"/>
    <w:pPr>
      <w:suppressLineNumbers/>
    </w:pPr>
    <w:rPr>
      <w:rFonts w:cs="Lohit Devanagari"/>
    </w:rPr>
  </w:style>
  <w:style w:type="paragraph" w:styleId="ListParagraph">
    <w:name w:val="List Paragraph"/>
    <w:uiPriority w:val="34"/>
    <w:qFormat/>
    <w:rsid w:val="00a35877"/>
    <w:pPr>
      <w:widowControl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highlight w:val="white"/>
      <w:lang w:val="ru-RU" w:eastAsia="en-US" w:bidi="en-US"/>
    </w:rPr>
  </w:style>
  <w:style w:type="paragraph" w:styleId="NoSpacing">
    <w:name w:val="No Spacing"/>
    <w:uiPriority w:val="1"/>
    <w:qFormat/>
    <w:rsid w:val="00a3587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highlight w:val="white"/>
      <w:lang w:val="ru-RU" w:eastAsia="en-US" w:bidi="en-US"/>
    </w:rPr>
  </w:style>
  <w:style w:type="paragraph" w:styleId="Style22">
    <w:name w:val="Title"/>
    <w:basedOn w:val="Style17"/>
    <w:uiPriority w:val="10"/>
    <w:qFormat/>
    <w:rsid w:val="00a35877"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Style17"/>
    <w:uiPriority w:val="11"/>
    <w:qFormat/>
    <w:rsid w:val="00a35877"/>
    <w:pPr>
      <w:spacing w:before="200" w:after="200"/>
    </w:pPr>
    <w:rPr>
      <w:sz w:val="24"/>
      <w:szCs w:val="24"/>
    </w:rPr>
  </w:style>
  <w:style w:type="paragraph" w:styleId="Quote">
    <w:name w:val="Quote"/>
    <w:uiPriority w:val="29"/>
    <w:qFormat/>
    <w:rsid w:val="00a35877"/>
    <w:pPr>
      <w:widowControl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4"/>
      <w:szCs w:val="22"/>
      <w:highlight w:val="white"/>
      <w:lang w:val="ru-RU" w:eastAsia="en-US" w:bidi="en-US"/>
    </w:rPr>
  </w:style>
  <w:style w:type="paragraph" w:styleId="IntenseQuote">
    <w:name w:val="Intense Quote"/>
    <w:uiPriority w:val="30"/>
    <w:qFormat/>
    <w:rsid w:val="00a35877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4"/>
      <w:szCs w:val="22"/>
      <w:highlight w:val="white"/>
      <w:lang w:val="ru-RU" w:eastAsia="en-US" w:bidi="en-US"/>
    </w:rPr>
  </w:style>
  <w:style w:type="paragraph" w:styleId="Style24" w:customStyle="1">
    <w:name w:val="Верхний и нижний колонтитулы"/>
    <w:basedOn w:val="Normal"/>
    <w:qFormat/>
    <w:rsid w:val="00a35877"/>
    <w:pPr/>
    <w:rPr/>
  </w:style>
  <w:style w:type="paragraph" w:styleId="12" w:customStyle="1">
    <w:name w:val="Верхний колонтитул1"/>
    <w:basedOn w:val="Normal"/>
    <w:qFormat/>
    <w:rsid w:val="00a35877"/>
    <w:pPr/>
    <w:rPr/>
  </w:style>
  <w:style w:type="paragraph" w:styleId="13" w:customStyle="1">
    <w:name w:val="Нижний колонтитул1"/>
    <w:basedOn w:val="Style24"/>
    <w:uiPriority w:val="99"/>
    <w:unhideWhenUsed/>
    <w:qFormat/>
    <w:rsid w:val="00a35877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14" w:customStyle="1">
    <w:name w:val="Текст сноски1"/>
    <w:basedOn w:val="Normal"/>
    <w:uiPriority w:val="99"/>
    <w:semiHidden/>
    <w:unhideWhenUsed/>
    <w:qFormat/>
    <w:rsid w:val="00a35877"/>
    <w:pPr>
      <w:spacing w:before="0" w:after="40"/>
    </w:pPr>
    <w:rPr>
      <w:sz w:val="18"/>
    </w:rPr>
  </w:style>
  <w:style w:type="paragraph" w:styleId="111" w:customStyle="1">
    <w:name w:val="Оглавление 11"/>
    <w:basedOn w:val="Indexheading"/>
    <w:link w:val="Heading1Char"/>
    <w:uiPriority w:val="39"/>
    <w:unhideWhenUsed/>
    <w:qFormat/>
    <w:rsid w:val="00a35877"/>
    <w:pPr>
      <w:spacing w:before="0" w:after="57"/>
    </w:pPr>
    <w:rPr/>
  </w:style>
  <w:style w:type="paragraph" w:styleId="211" w:customStyle="1">
    <w:name w:val="Оглавление 21"/>
    <w:basedOn w:val="Indexheading"/>
    <w:link w:val="Heading6Char"/>
    <w:uiPriority w:val="39"/>
    <w:unhideWhenUsed/>
    <w:qFormat/>
    <w:rsid w:val="00a35877"/>
    <w:pPr>
      <w:spacing w:before="0" w:after="57"/>
      <w:ind w:left="283" w:hanging="0"/>
    </w:pPr>
    <w:rPr/>
  </w:style>
  <w:style w:type="paragraph" w:styleId="311" w:customStyle="1">
    <w:name w:val="Оглавление 31"/>
    <w:basedOn w:val="Indexheading"/>
    <w:uiPriority w:val="39"/>
    <w:unhideWhenUsed/>
    <w:qFormat/>
    <w:rsid w:val="00a35877"/>
    <w:pPr>
      <w:spacing w:before="0" w:after="57"/>
      <w:ind w:left="567" w:hanging="0"/>
    </w:pPr>
    <w:rPr/>
  </w:style>
  <w:style w:type="paragraph" w:styleId="411" w:customStyle="1">
    <w:name w:val="Оглавление 41"/>
    <w:basedOn w:val="Indexheading"/>
    <w:uiPriority w:val="39"/>
    <w:unhideWhenUsed/>
    <w:qFormat/>
    <w:rsid w:val="00a35877"/>
    <w:pPr>
      <w:spacing w:before="0" w:after="57"/>
      <w:ind w:left="850" w:hanging="0"/>
    </w:pPr>
    <w:rPr/>
  </w:style>
  <w:style w:type="paragraph" w:styleId="511" w:customStyle="1">
    <w:name w:val="Оглавление 51"/>
    <w:basedOn w:val="Indexheading"/>
    <w:uiPriority w:val="39"/>
    <w:unhideWhenUsed/>
    <w:qFormat/>
    <w:rsid w:val="00a35877"/>
    <w:pPr>
      <w:spacing w:before="0" w:after="57"/>
      <w:ind w:left="1134" w:hanging="0"/>
    </w:pPr>
    <w:rPr/>
  </w:style>
  <w:style w:type="paragraph" w:styleId="611" w:customStyle="1">
    <w:name w:val="Оглавление 61"/>
    <w:basedOn w:val="Indexheading"/>
    <w:uiPriority w:val="39"/>
    <w:unhideWhenUsed/>
    <w:qFormat/>
    <w:rsid w:val="00a35877"/>
    <w:pPr>
      <w:spacing w:before="0" w:after="57"/>
      <w:ind w:left="1417" w:hanging="0"/>
    </w:pPr>
    <w:rPr/>
  </w:style>
  <w:style w:type="paragraph" w:styleId="711" w:customStyle="1">
    <w:name w:val="Оглавление 71"/>
    <w:basedOn w:val="Indexheading"/>
    <w:uiPriority w:val="39"/>
    <w:unhideWhenUsed/>
    <w:qFormat/>
    <w:rsid w:val="00a35877"/>
    <w:pPr>
      <w:spacing w:before="0" w:after="57"/>
      <w:ind w:left="1701" w:hanging="0"/>
    </w:pPr>
    <w:rPr/>
  </w:style>
  <w:style w:type="paragraph" w:styleId="811" w:customStyle="1">
    <w:name w:val="Оглавление 81"/>
    <w:basedOn w:val="Indexheading"/>
    <w:uiPriority w:val="39"/>
    <w:unhideWhenUsed/>
    <w:qFormat/>
    <w:rsid w:val="00a35877"/>
    <w:pPr>
      <w:spacing w:before="0" w:after="57"/>
      <w:ind w:left="1984" w:hanging="0"/>
    </w:pPr>
    <w:rPr/>
  </w:style>
  <w:style w:type="paragraph" w:styleId="911" w:customStyle="1">
    <w:name w:val="Оглавление 91"/>
    <w:basedOn w:val="Indexheading"/>
    <w:uiPriority w:val="39"/>
    <w:unhideWhenUsed/>
    <w:qFormat/>
    <w:rsid w:val="00a35877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a3587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highlight w:val="white"/>
      <w:lang w:val="ru-RU" w:eastAsia="en-US" w:bidi="en-US"/>
    </w:rPr>
  </w:style>
  <w:style w:type="paragraph" w:styleId="15" w:customStyle="1">
    <w:name w:val="Заголовок1"/>
    <w:basedOn w:val="Normal"/>
    <w:next w:val="Style18"/>
    <w:link w:val="11"/>
    <w:qFormat/>
    <w:rsid w:val="00a35877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aption">
    <w:name w:val="caption"/>
    <w:basedOn w:val="Normal"/>
    <w:qFormat/>
    <w:rsid w:val="00a35877"/>
    <w:pPr>
      <w:spacing w:before="120" w:after="120"/>
    </w:pPr>
    <w:rPr>
      <w:i/>
    </w:rPr>
  </w:style>
  <w:style w:type="paragraph" w:styleId="16" w:customStyle="1">
    <w:name w:val="Указатель1"/>
    <w:basedOn w:val="Normal"/>
    <w:link w:val="Heading2Char"/>
    <w:qFormat/>
    <w:rsid w:val="00a35877"/>
    <w:pPr/>
    <w:rPr/>
  </w:style>
  <w:style w:type="paragraph" w:styleId="DocumentMap" w:customStyle="1">
    <w:name w:val="DocumentMap"/>
    <w:qFormat/>
    <w:rsid w:val="00a35877"/>
    <w:pPr>
      <w:widowControl/>
      <w:bidi w:val="0"/>
      <w:spacing w:lineRule="auto" w:line="252" w:before="0" w:after="160"/>
      <w:jc w:val="left"/>
    </w:pPr>
    <w:rPr>
      <w:rFonts w:ascii="Calibri" w:hAnsi="Calibri" w:eastAsia="Liberation Serif" w:cs="Times New Roman"/>
      <w:color w:val="000000"/>
      <w:kern w:val="0"/>
      <w:sz w:val="22"/>
      <w:szCs w:val="24"/>
      <w:highlight w:val="white"/>
      <w:lang w:val="ru-RU" w:eastAsia="hi-IN" w:bidi="hi-IN"/>
    </w:rPr>
  </w:style>
  <w:style w:type="paragraph" w:styleId="C7e0e3eeebeee2eeea" w:customStyle="1">
    <w:name w:val="Çc7àe0ãe3îeeëebîeeâe2îeeêea"/>
    <w:basedOn w:val="Normal"/>
    <w:qFormat/>
    <w:rsid w:val="00a35877"/>
    <w:pPr>
      <w:keepNext w:val="true"/>
      <w:spacing w:before="240" w:after="120"/>
    </w:pPr>
    <w:rPr>
      <w:rFonts w:ascii="Liberation Sans" w:hAnsi="Liberation Sans"/>
      <w:sz w:val="28"/>
      <w:lang w:eastAsia="ar-SA"/>
    </w:rPr>
  </w:style>
  <w:style w:type="paragraph" w:styleId="Cef1edeee2edeee9f2e5eaf1f2" w:customStyle="1">
    <w:name w:val="Îceñf1íedîeeâe2íedîeeée9 òf2åe5êeañf1òf2"/>
    <w:basedOn w:val="Normal"/>
    <w:qFormat/>
    <w:rsid w:val="00a35877"/>
    <w:pPr>
      <w:spacing w:lineRule="auto" w:line="276" w:before="0" w:after="140"/>
    </w:pPr>
    <w:rPr>
      <w:lang w:eastAsia="ar-SA"/>
    </w:rPr>
  </w:style>
  <w:style w:type="paragraph" w:styleId="D1efe8f1eeea" w:customStyle="1">
    <w:name w:val="Ñd1ïefèe8ñf1îeeêea"/>
    <w:basedOn w:val="Cef1edeee2edeee9f2e5eaf1f2"/>
    <w:qFormat/>
    <w:rsid w:val="00a35877"/>
    <w:pPr/>
    <w:rPr/>
  </w:style>
  <w:style w:type="paragraph" w:styleId="Cde0e7e2e0ede8e5" w:customStyle="1">
    <w:name w:val="Ícdàe0çe7âe2àe0íedèe8åe5"/>
    <w:basedOn w:val="Normal"/>
    <w:qFormat/>
    <w:rsid w:val="00a35877"/>
    <w:pPr>
      <w:spacing w:before="120" w:after="120"/>
    </w:pPr>
    <w:rPr>
      <w:i/>
      <w:lang w:eastAsia="ar-SA"/>
    </w:rPr>
  </w:style>
  <w:style w:type="paragraph" w:styleId="D3eae0e7e0f2e5ebfc" w:customStyle="1">
    <w:name w:val="Ód3êeaàe0çe7àe0òf2åe5ëebüfc"/>
    <w:basedOn w:val="Normal"/>
    <w:qFormat/>
    <w:rsid w:val="00a35877"/>
    <w:pPr/>
    <w:rPr>
      <w:lang w:eastAsia="ar-SA"/>
    </w:rPr>
  </w:style>
  <w:style w:type="paragraph" w:styleId="D1eee4e5f0e6e8eceee5f2e0e1ebe8f6fb" w:customStyle="1">
    <w:name w:val="Ñd1îeeäe4åe5ðf0æe6èe8ìecîeeåe5 òf2àe0áe1ëebèe8öf6ûfb"/>
    <w:basedOn w:val="Normal"/>
    <w:qFormat/>
    <w:rsid w:val="00a35877"/>
    <w:pPr/>
    <w:rPr>
      <w:lang w:eastAsia="ar-SA"/>
    </w:rPr>
  </w:style>
  <w:style w:type="paragraph" w:styleId="ConsPlusTitle" w:customStyle="1">
    <w:name w:val="ConsPlusTitle"/>
    <w:qFormat/>
    <w:rsid w:val="00a35877"/>
    <w:pPr>
      <w:widowControl w:val="false"/>
      <w:bidi w:val="0"/>
      <w:spacing w:before="0" w:after="0"/>
      <w:jc w:val="left"/>
    </w:pPr>
    <w:rPr>
      <w:rFonts w:ascii="Times New Roman" w:hAnsi="Times New Roman" w:eastAsia="Liberation Serif" w:cs="Times New Roman"/>
      <w:b/>
      <w:color w:val="000000"/>
      <w:kern w:val="0"/>
      <w:sz w:val="24"/>
      <w:szCs w:val="24"/>
      <w:highlight w:val="white"/>
      <w:lang w:val="ru-RU" w:eastAsia="hi-IN" w:bidi="hi-IN"/>
    </w:rPr>
  </w:style>
  <w:style w:type="paragraph" w:styleId="ConsPlusNormal" w:customStyle="1">
    <w:name w:val="ConsPlusNormal"/>
    <w:qFormat/>
    <w:rsid w:val="00a35877"/>
    <w:pPr>
      <w:widowControl w:val="false"/>
      <w:bidi w:val="0"/>
      <w:spacing w:before="0" w:after="0"/>
      <w:ind w:firstLine="720"/>
      <w:jc w:val="left"/>
    </w:pPr>
    <w:rPr>
      <w:rFonts w:ascii="Arial" w:hAnsi="Arial" w:eastAsia="Liberation Serif" w:cs="Times New Roman"/>
      <w:color w:val="000000"/>
      <w:kern w:val="0"/>
      <w:sz w:val="24"/>
      <w:szCs w:val="24"/>
      <w:highlight w:val="white"/>
      <w:lang w:val="ru-RU" w:eastAsia="hi-IN" w:bidi="hi-IN"/>
    </w:rPr>
  </w:style>
  <w:style w:type="paragraph" w:styleId="Cee1fbf7edfbe9e2e5e12" w:customStyle="1">
    <w:name w:val="Îceáe1ûfb÷f7íedûfbée9 (âe2åe5áe1)2"/>
    <w:basedOn w:val="Normal"/>
    <w:qFormat/>
    <w:rsid w:val="00a35877"/>
    <w:pPr>
      <w:spacing w:before="280" w:after="280"/>
      <w:jc w:val="both"/>
    </w:pPr>
    <w:rPr>
      <w:lang w:eastAsia="ar-SA"/>
    </w:rPr>
  </w:style>
  <w:style w:type="paragraph" w:styleId="Cee1fbf7edfbe9e2e5e1" w:customStyle="1">
    <w:name w:val="Îceáe1ûfb÷f7íedûfbée9 (âe2åe5áe1)"/>
    <w:basedOn w:val="Normal"/>
    <w:qFormat/>
    <w:rsid w:val="00a35877"/>
    <w:pPr>
      <w:spacing w:before="280" w:after="280"/>
    </w:pPr>
    <w:rPr>
      <w:lang w:eastAsia="ar-SA"/>
    </w:rPr>
  </w:style>
  <w:style w:type="paragraph" w:styleId="Cef1edeee2edeee9f2e5eaf1f231" w:customStyle="1">
    <w:name w:val="Îceñf1íedîeeâe2íedîeeée9 òf2åe5êeañf1òf2 31"/>
    <w:basedOn w:val="Normal"/>
    <w:qFormat/>
    <w:rsid w:val="00a35877"/>
    <w:pPr>
      <w:spacing w:before="0" w:after="120"/>
    </w:pPr>
    <w:rPr>
      <w:sz w:val="16"/>
      <w:lang w:eastAsia="ar-SA"/>
    </w:rPr>
  </w:style>
  <w:style w:type="paragraph" w:styleId="C0e1e7e0f6f1efe8f1eae0" w:customStyle="1">
    <w:name w:val="Àc0áe1çe7àe0öf6 ñf1ïefèe8ñf1êeaàe0"/>
    <w:basedOn w:val="Normal"/>
    <w:qFormat/>
    <w:rsid w:val="00a35877"/>
    <w:pPr>
      <w:spacing w:before="0" w:after="0"/>
      <w:ind w:left="720" w:hanging="0"/>
      <w:contextualSpacing/>
    </w:pPr>
    <w:rPr>
      <w:lang w:eastAsia="ar-SA"/>
    </w:rPr>
  </w:style>
  <w:style w:type="paragraph" w:styleId="Formattext" w:customStyle="1">
    <w:name w:val="formattext"/>
    <w:qFormat/>
    <w:rsid w:val="00a35877"/>
    <w:pPr>
      <w:widowControl w:val="false"/>
      <w:bidi w:val="0"/>
      <w:spacing w:before="0" w:after="0"/>
      <w:jc w:val="left"/>
    </w:pPr>
    <w:rPr>
      <w:rFonts w:ascii="Times New Roman" w:hAnsi="Times New Roman" w:eastAsia="Liberation Serif" w:cs="Times New Roman"/>
      <w:color w:val="000000"/>
      <w:kern w:val="0"/>
      <w:sz w:val="18"/>
      <w:szCs w:val="24"/>
      <w:highlight w:val="white"/>
      <w:lang w:val="ru-RU" w:eastAsia="hi-IN" w:bidi="hi-IN"/>
    </w:rPr>
  </w:style>
  <w:style w:type="paragraph" w:styleId="ConsPlusNonformat" w:customStyle="1">
    <w:name w:val="ConsPlusNonformat"/>
    <w:qFormat/>
    <w:rsid w:val="00a35877"/>
    <w:pPr>
      <w:widowControl w:val="false"/>
      <w:bidi w:val="0"/>
      <w:spacing w:before="0" w:after="0"/>
      <w:jc w:val="left"/>
    </w:pPr>
    <w:rPr>
      <w:rFonts w:ascii="Courier New" w:hAnsi="Courier New" w:eastAsia="Liberation Serif" w:cs="Times New Roman"/>
      <w:color w:val="000000"/>
      <w:kern w:val="0"/>
      <w:sz w:val="24"/>
      <w:szCs w:val="24"/>
      <w:highlight w:val="white"/>
      <w:lang w:val="ru-RU" w:eastAsia="hi-IN" w:bidi="hi-IN"/>
    </w:rPr>
  </w:style>
  <w:style w:type="paragraph" w:styleId="C2e5f0f5ede8e9eaeeebeeedf2e8f2f3eb" w:customStyle="1">
    <w:name w:val="Âc2åe5ðf0õf5íedèe8ée9 êeaîeeëebîeeíedòf2èe8òf2óf3ëeb"/>
    <w:basedOn w:val="Normal"/>
    <w:qFormat/>
    <w:rsid w:val="00a35877"/>
    <w:pPr>
      <w:tabs>
        <w:tab w:val="clear" w:pos="709"/>
        <w:tab w:val="center" w:pos="4535" w:leader="none"/>
        <w:tab w:val="right" w:pos="9071" w:leader="none"/>
      </w:tabs>
    </w:pPr>
    <w:rPr>
      <w:lang w:eastAsia="ar-SA"/>
    </w:rPr>
  </w:style>
  <w:style w:type="paragraph" w:styleId="BalloonText">
    <w:name w:val="Balloon Text"/>
    <w:basedOn w:val="Normal"/>
    <w:qFormat/>
    <w:rsid w:val="00a35877"/>
    <w:pPr/>
    <w:rPr>
      <w:rFonts w:ascii="Segoe UI" w:hAnsi="Segoe UI"/>
      <w:sz w:val="18"/>
    </w:rPr>
  </w:style>
  <w:style w:type="paragraph" w:styleId="Style25" w:customStyle="1">
    <w:name w:val="Содержимое таблицы"/>
    <w:basedOn w:val="Normal"/>
    <w:qFormat/>
    <w:rsid w:val="00a35877"/>
    <w:pPr/>
    <w:rPr/>
  </w:style>
  <w:style w:type="paragraph" w:styleId="Style26" w:customStyle="1">
    <w:name w:val="Заголовок таблицы"/>
    <w:basedOn w:val="Style25"/>
    <w:qFormat/>
    <w:rsid w:val="00a35877"/>
    <w:pPr>
      <w:jc w:val="center"/>
    </w:pPr>
    <w:rPr>
      <w:b/>
      <w:bCs/>
    </w:rPr>
  </w:style>
  <w:style w:type="paragraph" w:styleId="Style27">
    <w:name w:val="Header"/>
    <w:basedOn w:val="Style24"/>
    <w:pPr/>
    <w:rPr/>
  </w:style>
  <w:style w:type="paragraph" w:styleId="Style28">
    <w:name w:val="Обычный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Liberation Serif" w:hAnsi="Liberation Serif" w:eastAsia="Liberation Serif" w:cs="Times New Roman"/>
      <w:color w:val="000000"/>
      <w:spacing w:val="0"/>
      <w:kern w:val="0"/>
      <w:sz w:val="24"/>
      <w:szCs w:val="24"/>
      <w:highlight w:val="white"/>
      <w:highlight w:val="white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uiPriority w:val="59"/>
    <w:rsid w:val="00a3587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35877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35877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a35877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a35877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a35877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a35877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a35877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a35877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a35877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a35877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uiPriority w:val="99"/>
    <w:rsid w:val="00a35877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35877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35877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35877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35877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35877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35877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a35877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35877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35877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35877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35877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35877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35877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a35877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35877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35877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35877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35877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35877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35877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35877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35877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a35877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a35877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a35877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a35877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a35877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a35877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a35877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a35877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a35877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a35877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a35877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a35877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a35877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358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a35877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35877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35877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35877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35877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35877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35877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a35877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a35877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a35877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a35877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a35877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a35877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a35877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uiPriority w:val="99"/>
    <w:rsid w:val="00a35877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35877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35877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35877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35877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35877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35877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a35877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35877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a35877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35877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35877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35877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35877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35877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a35877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a35877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a35877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a35877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a35877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a35877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a35877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a35877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a35877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a35877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a35877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a35877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a35877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35877"/>
    <w:rPr>
      <w:lang w:eastAsia="ru-RU" w:bidi="ar-SA"/>
      <w:color w:val="404040"/>
      <w:szCs w:val="20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a35877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a35877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a35877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a35877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a35877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a35877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a35877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olog46.ru/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www.torgi.gov.ru/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torgi.gov.ru/" TargetMode="External"/><Relationship Id="rId9" Type="http://schemas.openxmlformats.org/officeDocument/2006/relationships/hyperlink" Target="http://www.torgi.gov.ru/" TargetMode="External"/><Relationship Id="rId10" Type="http://schemas.openxmlformats.org/officeDocument/2006/relationships/hyperlink" Target="https://www.gosuslugi.ru/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3DA7-20CC-41D2-8011-0BC50430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LibreOffice/6.3.5.2$Linux_X86_64 LibreOffice_project/dd0751754f11728f69b42ee2af66670068624673</Application>
  <Pages>34</Pages>
  <Words>9142</Words>
  <Characters>69123</Characters>
  <CharactersWithSpaces>78298</CharactersWithSpaces>
  <Paragraphs>462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2021-06-16T14:16:00Z</dcterms:created>
  <dc:creator>Лунева Оксана Юрьевна</dc:creator>
  <dc:description/>
  <dc:language>ru-RU</dc:language>
  <cp:lastModifiedBy/>
  <dcterms:modified xsi:type="dcterms:W3CDTF">2021-06-22T08:58:11Z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