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9889"/>
        <w:gridCol w:w="4897"/>
        <w:gridCol w:w="4330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D80068" w:rsidRDefault="00191E21" w:rsidP="003A5948">
            <w:r>
              <w:t xml:space="preserve">  от 05.04.2022 № 203-ра </w:t>
            </w:r>
          </w:p>
          <w:p w:rsidR="0064130A" w:rsidRDefault="00191E21" w:rsidP="00D80068">
            <w:r>
              <w:t>(в редакции распоряжени</w:t>
            </w:r>
            <w:r w:rsidR="003A5948">
              <w:t>я</w:t>
            </w:r>
            <w:r>
              <w:t xml:space="preserve"> Администрации Курской области</w:t>
            </w:r>
          </w:p>
          <w:p w:rsidR="00BF5234" w:rsidRPr="00F9656F" w:rsidRDefault="00191E21" w:rsidP="00D80068">
            <w:pPr>
              <w:rPr>
                <w:u w:val="single"/>
              </w:rPr>
            </w:pPr>
            <w:bookmarkStart w:id="0" w:name="_GoBack"/>
            <w:bookmarkEnd w:id="0"/>
            <w:r>
              <w:t xml:space="preserve">от </w:t>
            </w:r>
            <w:r w:rsidR="00150C0A">
              <w:t>04</w:t>
            </w:r>
            <w:r w:rsidR="009D3F5C">
              <w:t>.</w:t>
            </w:r>
            <w:r w:rsidR="000941E2">
              <w:t>1</w:t>
            </w:r>
            <w:r w:rsidR="009D3F5C">
              <w:t>0.2022 №</w:t>
            </w:r>
            <w:r w:rsidR="00150C0A">
              <w:t xml:space="preserve"> 805-</w:t>
            </w:r>
            <w:r w:rsidR="009D3F5C">
              <w:t>ра</w:t>
            </w:r>
            <w:r w:rsidRPr="00F265EF">
              <w:t>)</w:t>
            </w: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7F6F32">
        <w:rPr>
          <w:b/>
          <w:bCs/>
        </w:rPr>
        <w:t>2</w:t>
      </w:r>
      <w:r>
        <w:rPr>
          <w:b/>
          <w:bCs/>
        </w:rPr>
        <w:t xml:space="preserve"> год и плановый период 202</w:t>
      </w:r>
      <w:r w:rsidR="007F6F32">
        <w:rPr>
          <w:b/>
          <w:bCs/>
        </w:rPr>
        <w:t>3</w:t>
      </w:r>
      <w:r>
        <w:rPr>
          <w:b/>
          <w:bCs/>
        </w:rPr>
        <w:t xml:space="preserve"> и 202</w:t>
      </w:r>
      <w:r w:rsidR="007F6F32">
        <w:rPr>
          <w:b/>
          <w:bCs/>
        </w:rPr>
        <w:t>4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450ACA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6E3E0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>исполнитель (ОИВ)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7F6F32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F5234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1.П1.</w:t>
            </w:r>
          </w:p>
          <w:p w:rsidR="00BF5234" w:rsidRPr="003D1809" w:rsidRDefault="00BF5234" w:rsidP="0008115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="00BF5234"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65569E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1.2.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 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>и контроля за состоянием почв в местах несанкционирован-ного размещения отходов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65569E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A452DF" w:rsidRDefault="00547FEF" w:rsidP="00547FEF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943554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4B5C19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4B5C19" w:rsidRDefault="004B5C19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268" w:type="dxa"/>
            <w:vAlign w:val="center"/>
          </w:tcPr>
          <w:p w:rsidR="00850991" w:rsidRDefault="00850991" w:rsidP="00547FEF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6</w:t>
            </w:r>
            <w:r w:rsidRPr="00850991">
              <w:rPr>
                <w:sz w:val="22"/>
                <w:szCs w:val="22"/>
              </w:rPr>
              <w:t xml:space="preserve">.  </w:t>
            </w:r>
          </w:p>
          <w:p w:rsidR="004B5C19" w:rsidRPr="00850991" w:rsidRDefault="00850991" w:rsidP="00046430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 xml:space="preserve">  </w:t>
            </w:r>
            <w:r w:rsidR="00046430">
              <w:rPr>
                <w:sz w:val="22"/>
                <w:szCs w:val="22"/>
              </w:rPr>
              <w:t>Р</w:t>
            </w:r>
            <w:r w:rsidRPr="00850991">
              <w:rPr>
                <w:sz w:val="22"/>
                <w:szCs w:val="22"/>
              </w:rPr>
              <w:t xml:space="preserve">еконструкция объекта «Мемориальный комплекс «Курская дуга» г. Курск. Реконструкция парка «Патриот» </w:t>
            </w:r>
            <w:r w:rsidR="00046430"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  <w:vAlign w:val="center"/>
          </w:tcPr>
          <w:p w:rsidR="004B5C19" w:rsidRDefault="00850991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268" w:type="dxa"/>
            <w:vAlign w:val="center"/>
          </w:tcPr>
          <w:p w:rsidR="00B02D72" w:rsidRPr="007F1A6C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7</w:t>
            </w:r>
            <w:r w:rsidRPr="007F1A6C">
              <w:rPr>
                <w:sz w:val="22"/>
                <w:szCs w:val="22"/>
              </w:rPr>
              <w:t>.</w:t>
            </w:r>
          </w:p>
          <w:p w:rsidR="00B02D72" w:rsidRPr="00C7761F" w:rsidRDefault="00B02D72" w:rsidP="00B02D72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>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Pr="005B0D01" w:rsidRDefault="00B02D72" w:rsidP="00027CFB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027C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02D72" w:rsidRPr="00E07525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>Контрольное событие программы 1</w:t>
            </w:r>
            <w:r w:rsidR="00027CFB">
              <w:rPr>
                <w:sz w:val="22"/>
                <w:szCs w:val="22"/>
              </w:rPr>
              <w:t>.8</w:t>
            </w:r>
            <w:r w:rsidRPr="00E07525">
              <w:rPr>
                <w:sz w:val="22"/>
                <w:szCs w:val="22"/>
              </w:rPr>
              <w:t xml:space="preserve">.  </w:t>
            </w:r>
          </w:p>
          <w:p w:rsidR="00B02D72" w:rsidRPr="00027CFB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</w:t>
            </w:r>
            <w:r w:rsidR="00027CFB" w:rsidRPr="00027CFB">
              <w:rPr>
                <w:sz w:val="22"/>
                <w:szCs w:val="22"/>
              </w:rPr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1994" w:type="dxa"/>
            <w:vAlign w:val="center"/>
          </w:tcPr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365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1.П2.1.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10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1.П2.2.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655058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1.П2.3.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655058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C35B80">
        <w:trPr>
          <w:gridAfter w:val="1"/>
          <w:wAfter w:w="12" w:type="dxa"/>
          <w:trHeight w:val="365"/>
        </w:trPr>
        <w:tc>
          <w:tcPr>
            <w:tcW w:w="640" w:type="dxa"/>
          </w:tcPr>
          <w:p w:rsidR="005837FD" w:rsidRPr="00041482" w:rsidRDefault="005837FD" w:rsidP="00C35B80">
            <w:pPr>
              <w:pStyle w:val="ConsPlusCell"/>
              <w:ind w:left="-57" w:right="-57"/>
              <w:jc w:val="center"/>
              <w:rPr>
                <w:sz w:val="24"/>
                <w:szCs w:val="24"/>
                <w:vertAlign w:val="superscript"/>
              </w:rPr>
            </w:pPr>
            <w:r w:rsidRPr="005837FD">
              <w:rPr>
                <w:sz w:val="22"/>
                <w:szCs w:val="22"/>
              </w:rPr>
              <w:t>1.12</w:t>
            </w:r>
            <w:r w:rsidRPr="005837FD">
              <w:rPr>
                <w:sz w:val="22"/>
                <w:szCs w:val="22"/>
                <w:vertAlign w:val="superscript"/>
              </w:rPr>
              <w:t>1</w:t>
            </w:r>
            <w:r w:rsidRPr="0004148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C35B80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t>Контрольное событие программы 1.П2.5.</w:t>
            </w:r>
          </w:p>
          <w:p w:rsidR="005837FD" w:rsidRPr="00C35B80" w:rsidRDefault="000941E2" w:rsidP="00C2593A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  <w:r w:rsidR="005837FD" w:rsidRPr="00C35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="005837FD" w:rsidRPr="00C35B80">
              <w:rPr>
                <w:sz w:val="22"/>
                <w:szCs w:val="22"/>
              </w:rPr>
              <w:t>акон</w:t>
            </w:r>
            <w:r>
              <w:rPr>
                <w:sz w:val="22"/>
                <w:szCs w:val="22"/>
              </w:rPr>
              <w:t>а</w:t>
            </w:r>
            <w:r w:rsidR="005837FD" w:rsidRPr="00C35B80">
              <w:rPr>
                <w:sz w:val="22"/>
                <w:szCs w:val="22"/>
              </w:rPr>
              <w:t xml:space="preserve"> Курской области </w:t>
            </w:r>
            <w:r w:rsidR="00C2593A">
              <w:rPr>
                <w:sz w:val="22"/>
                <w:szCs w:val="22"/>
              </w:rPr>
              <w:t xml:space="preserve">«О внесении изменений в Закон Курской области </w:t>
            </w:r>
            <w:r w:rsidR="005837FD" w:rsidRPr="00C35B80">
              <w:rPr>
                <w:sz w:val="22"/>
                <w:szCs w:val="22"/>
              </w:rPr>
              <w:t xml:space="preserve">«О некоторых вопросах в области организации, охраны и использования особо охраняемых природных </w:t>
            </w:r>
            <w:r w:rsidR="005837FD" w:rsidRPr="00C35B80">
              <w:rPr>
                <w:sz w:val="22"/>
                <w:szCs w:val="22"/>
              </w:rPr>
              <w:lastRenderedPageBreak/>
              <w:t xml:space="preserve">территорий в Курской области» </w:t>
            </w:r>
            <w:r w:rsidR="00C2593A">
              <w:rPr>
                <w:sz w:val="22"/>
                <w:szCs w:val="22"/>
              </w:rPr>
              <w:t>подготовлен</w:t>
            </w:r>
          </w:p>
        </w:tc>
        <w:tc>
          <w:tcPr>
            <w:tcW w:w="1994" w:type="dxa"/>
          </w:tcPr>
          <w:p w:rsidR="005837FD" w:rsidRPr="00C35B80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lastRenderedPageBreak/>
              <w:t>Комитет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1.13.</w:t>
            </w:r>
          </w:p>
        </w:tc>
        <w:tc>
          <w:tcPr>
            <w:tcW w:w="2268" w:type="dxa"/>
            <w:vAlign w:val="center"/>
          </w:tcPr>
          <w:p w:rsidR="005837FD" w:rsidRPr="006A31B8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Контрольное событие программы 1.</w:t>
            </w:r>
            <w:r w:rsidRPr="006A31B8">
              <w:rPr>
                <w:sz w:val="22"/>
                <w:szCs w:val="22"/>
                <w:lang w:val="en-US"/>
              </w:rPr>
              <w:t>G</w:t>
            </w:r>
            <w:r w:rsidRPr="006A31B8">
              <w:rPr>
                <w:sz w:val="22"/>
                <w:szCs w:val="22"/>
              </w:rPr>
              <w:t>1.1.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Несанкционирован</w:t>
            </w:r>
            <w:r>
              <w:rPr>
                <w:sz w:val="22"/>
                <w:szCs w:val="22"/>
              </w:rPr>
              <w:t>-</w:t>
            </w:r>
            <w:r w:rsidRPr="006A31B8">
              <w:rPr>
                <w:sz w:val="22"/>
                <w:szCs w:val="22"/>
              </w:rPr>
              <w:t>ные свалки в границах городов ликвидированы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5837FD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  <w:r w:rsidRPr="003D18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837FD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Контрольное событие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2</w:t>
            </w:r>
            <w:r w:rsidRPr="003466C5">
              <w:rPr>
                <w:sz w:val="22"/>
                <w:szCs w:val="22"/>
              </w:rPr>
              <w:t>.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 «Реконструкция (восстановление) отводящего канала </w:t>
            </w:r>
            <w:r w:rsidRPr="003466C5">
              <w:rPr>
                <w:sz w:val="22"/>
                <w:szCs w:val="22"/>
              </w:rPr>
              <w:lastRenderedPageBreak/>
              <w:t xml:space="preserve">водосброса Курского гидроузла на 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р. Тускарь» </w:t>
            </w:r>
            <w:r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</w:tcPr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lastRenderedPageBreak/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466C5" w:rsidRDefault="005837FD" w:rsidP="005837F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268" w:type="dxa"/>
            <w:vAlign w:val="center"/>
          </w:tcPr>
          <w:p w:rsidR="005837FD" w:rsidRPr="00AC1B43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AC1B4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3</w:t>
            </w:r>
            <w:r w:rsidRPr="00AC1B43">
              <w:rPr>
                <w:sz w:val="22"/>
                <w:szCs w:val="22"/>
              </w:rPr>
              <w:t>.                  Проектно-изыскательские работы по объекту «Гидротехническое сооружение на протоке Кривец в городе Курске» выполнены</w:t>
            </w:r>
          </w:p>
        </w:tc>
        <w:tc>
          <w:tcPr>
            <w:tcW w:w="1994" w:type="dxa"/>
          </w:tcPr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466C5" w:rsidRDefault="005837FD" w:rsidP="005837F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гидротехнических сооружений </w:t>
            </w:r>
            <w:r w:rsidRPr="003D1809">
              <w:rPr>
                <w:sz w:val="22"/>
                <w:szCs w:val="22"/>
              </w:rPr>
              <w:lastRenderedPageBreak/>
              <w:t xml:space="preserve">проведен     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Мониторинг водных объектов рек Тускарь, Свапа, Псел, Сейм</w:t>
            </w:r>
            <w:r>
              <w:rPr>
                <w:sz w:val="22"/>
                <w:szCs w:val="22"/>
              </w:rPr>
              <w:t>, Олым, Щигор, Тим, Оскол</w:t>
            </w:r>
            <w:r w:rsidRPr="003D1809">
              <w:rPr>
                <w:sz w:val="22"/>
                <w:szCs w:val="22"/>
              </w:rPr>
              <w:t xml:space="preserve"> и их притоков осуществлен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837FD" w:rsidRPr="008B7EF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Pr="008B7EF5" w:rsidRDefault="005837FD" w:rsidP="005837FD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8B7EF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837FD" w:rsidRPr="008B7EF5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t>закреплены на местности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 xml:space="preserve">Контрольное </w:t>
            </w:r>
            <w:r w:rsidRPr="00056515">
              <w:rPr>
                <w:sz w:val="22"/>
                <w:szCs w:val="22"/>
              </w:rPr>
              <w:lastRenderedPageBreak/>
              <w:t xml:space="preserve">событие </w:t>
            </w:r>
          </w:p>
          <w:p w:rsidR="005837FD" w:rsidRPr="0005651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9</w:t>
            </w:r>
            <w:r w:rsidRPr="00056515">
              <w:rPr>
                <w:sz w:val="22"/>
                <w:szCs w:val="22"/>
              </w:rPr>
              <w:t>.</w:t>
            </w:r>
          </w:p>
          <w:p w:rsidR="005837FD" w:rsidRDefault="005837FD" w:rsidP="005837FD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>Русло протоки Кривец в пределах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 xml:space="preserve"> г. Курска расчищено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2.10.</w:t>
            </w:r>
          </w:p>
        </w:tc>
        <w:tc>
          <w:tcPr>
            <w:tcW w:w="2268" w:type="dxa"/>
            <w:vAlign w:val="center"/>
          </w:tcPr>
          <w:p w:rsidR="005837FD" w:rsidRPr="00547773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1</w:t>
            </w:r>
            <w:r w:rsidRPr="00547773">
              <w:rPr>
                <w:sz w:val="22"/>
                <w:szCs w:val="22"/>
              </w:rPr>
              <w:t>0.</w:t>
            </w:r>
          </w:p>
          <w:p w:rsidR="005837FD" w:rsidRPr="0005651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color w:val="000000"/>
                <w:sz w:val="22"/>
                <w:szCs w:val="22"/>
              </w:rPr>
              <w:t>Проектная документация по объекту «Расчистка ручья Меловский в границах территории Зуевского сельсовета Солнцевского района Курской области» разработана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2268" w:type="dxa"/>
            <w:vAlign w:val="center"/>
          </w:tcPr>
          <w:p w:rsidR="005837FD" w:rsidRPr="000A00AA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онтрольное событие программы 2.11</w:t>
            </w:r>
            <w:r w:rsidRPr="000A00AA">
              <w:rPr>
                <w:sz w:val="22"/>
                <w:szCs w:val="22"/>
              </w:rPr>
              <w:t>.</w:t>
            </w:r>
          </w:p>
          <w:p w:rsidR="005837FD" w:rsidRPr="0005651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color w:val="000000"/>
                <w:sz w:val="22"/>
                <w:szCs w:val="22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5837FD" w:rsidRPr="003D1809" w:rsidRDefault="005837FD" w:rsidP="005837F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 xml:space="preserve">«Обеспечение реализации государственной программы  </w:t>
            </w:r>
            <w:r w:rsidRPr="003D1809">
              <w:rPr>
                <w:b/>
                <w:bCs/>
                <w:sz w:val="22"/>
                <w:szCs w:val="22"/>
              </w:rPr>
              <w:lastRenderedPageBreak/>
              <w:t>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837FD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5837FD" w:rsidRPr="003D1809" w:rsidRDefault="005837FD" w:rsidP="005837FD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3.2.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Площадь особо охраняемых природных территорий </w:t>
            </w:r>
            <w:r w:rsidRPr="003D1809">
              <w:rPr>
                <w:sz w:val="22"/>
                <w:szCs w:val="22"/>
              </w:rPr>
              <w:lastRenderedPageBreak/>
              <w:t>регионального значения мероприятиями по сохранению природных комплексов, уникальных и эталонных природных участков и объектов охвачена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Положение     о </w:t>
            </w:r>
            <w:r>
              <w:rPr>
                <w:sz w:val="22"/>
                <w:szCs w:val="22"/>
              </w:rPr>
              <w:t>комитете</w:t>
            </w:r>
          </w:p>
          <w:p w:rsidR="005837FD" w:rsidRPr="002A026B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1994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5837FD" w:rsidRPr="003D1809" w:rsidRDefault="005837FD" w:rsidP="005837FD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</w:t>
            </w:r>
            <w:r>
              <w:rPr>
                <w:b/>
                <w:bCs/>
                <w:sz w:val="22"/>
                <w:szCs w:val="22"/>
              </w:rPr>
              <w:t xml:space="preserve">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5.6.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5.7.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</w:t>
            </w:r>
            <w:r w:rsidRPr="003D1809">
              <w:rPr>
                <w:sz w:val="22"/>
                <w:szCs w:val="22"/>
              </w:rPr>
              <w:lastRenderedPageBreak/>
              <w:t>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9774A1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1994" w:type="dxa"/>
          </w:tcPr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 xml:space="preserve">Государственная экологическая экспертиза материалов, обосновывающих лимиты и квоты добычи охотничьих ресурсов на </w:t>
            </w:r>
            <w:r w:rsidRPr="009774A1">
              <w:rPr>
                <w:sz w:val="22"/>
                <w:szCs w:val="22"/>
              </w:rPr>
              <w:lastRenderedPageBreak/>
              <w:t>территории Курской области, проведена</w:t>
            </w:r>
          </w:p>
          <w:p w:rsidR="005837FD" w:rsidRPr="009774A1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5837FD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5837FD" w:rsidRPr="003D1809" w:rsidRDefault="005837FD" w:rsidP="005837FD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655F12" w:rsidRPr="00655F12" w:rsidTr="000941E2">
        <w:trPr>
          <w:gridAfter w:val="1"/>
          <w:wAfter w:w="12" w:type="dxa"/>
          <w:trHeight w:val="146"/>
        </w:trPr>
        <w:tc>
          <w:tcPr>
            <w:tcW w:w="640" w:type="dxa"/>
          </w:tcPr>
          <w:p w:rsidR="00655F12" w:rsidRPr="00655F12" w:rsidRDefault="00655F12" w:rsidP="00655F12">
            <w:pPr>
              <w:pStyle w:val="ConsPlusCell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 w:rsidRPr="00655F12">
              <w:rPr>
                <w:sz w:val="22"/>
                <w:szCs w:val="22"/>
              </w:rPr>
              <w:lastRenderedPageBreak/>
              <w:t>5.12.</w:t>
            </w:r>
          </w:p>
        </w:tc>
        <w:tc>
          <w:tcPr>
            <w:tcW w:w="2268" w:type="dxa"/>
            <w:vAlign w:val="center"/>
          </w:tcPr>
          <w:p w:rsidR="00655F12" w:rsidRPr="00655F12" w:rsidRDefault="00655F12" w:rsidP="00655F12">
            <w:pPr>
              <w:spacing w:after="33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Контрольное событие</w:t>
            </w:r>
          </w:p>
          <w:p w:rsidR="00655F12" w:rsidRPr="00655F12" w:rsidRDefault="00655F12" w:rsidP="00655F12">
            <w:pPr>
              <w:spacing w:after="33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программы 5.12.</w:t>
            </w:r>
          </w:p>
          <w:p w:rsidR="00655F12" w:rsidRPr="00655F12" w:rsidRDefault="00655F12" w:rsidP="0038071A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Удостоверения и нагр</w:t>
            </w:r>
            <w:r w:rsidR="0038071A">
              <w:rPr>
                <w:sz w:val="22"/>
                <w:szCs w:val="22"/>
              </w:rPr>
              <w:t>у</w:t>
            </w:r>
            <w:r w:rsidRPr="00655F12">
              <w:rPr>
                <w:sz w:val="22"/>
                <w:szCs w:val="22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производственные охотничьи инспекто</w:t>
            </w:r>
            <w:r w:rsidR="0038071A">
              <w:rPr>
                <w:sz w:val="22"/>
                <w:szCs w:val="22"/>
              </w:rPr>
              <w:t>ры,</w:t>
            </w:r>
            <w:r w:rsidRPr="00655F12">
              <w:rPr>
                <w:sz w:val="22"/>
                <w:szCs w:val="22"/>
              </w:rPr>
              <w:t xml:space="preserve"> выданы</w:t>
            </w:r>
          </w:p>
        </w:tc>
        <w:tc>
          <w:tcPr>
            <w:tcW w:w="1994" w:type="dxa"/>
          </w:tcPr>
          <w:p w:rsidR="00655F12" w:rsidRPr="00655F12" w:rsidRDefault="00655F12" w:rsidP="00655F12">
            <w:pPr>
              <w:pStyle w:val="ConsPlusCell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Комитет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  <w:p w:rsidR="00655F12" w:rsidRPr="00655F12" w:rsidRDefault="00655F12" w:rsidP="00655F12">
            <w:pPr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</w:tr>
      <w:tr w:rsidR="00655F12" w:rsidRPr="00655F12" w:rsidTr="000941E2">
        <w:trPr>
          <w:gridAfter w:val="1"/>
          <w:wAfter w:w="12" w:type="dxa"/>
          <w:trHeight w:val="146"/>
        </w:trPr>
        <w:tc>
          <w:tcPr>
            <w:tcW w:w="640" w:type="dxa"/>
          </w:tcPr>
          <w:p w:rsidR="00655F12" w:rsidRPr="00655F12" w:rsidRDefault="00655F12" w:rsidP="00655F12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5.13.</w:t>
            </w:r>
          </w:p>
        </w:tc>
        <w:tc>
          <w:tcPr>
            <w:tcW w:w="2268" w:type="dxa"/>
            <w:vAlign w:val="center"/>
          </w:tcPr>
          <w:p w:rsidR="00655F12" w:rsidRPr="00655F12" w:rsidRDefault="00655F12" w:rsidP="00655F12">
            <w:pPr>
              <w:spacing w:after="33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 xml:space="preserve">Контрольное событие </w:t>
            </w:r>
          </w:p>
          <w:p w:rsidR="00655F12" w:rsidRPr="00655F12" w:rsidRDefault="00655F12" w:rsidP="00655F12">
            <w:pPr>
              <w:spacing w:after="33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программы 5.13.</w:t>
            </w:r>
          </w:p>
          <w:p w:rsidR="00655F12" w:rsidRPr="00655F12" w:rsidRDefault="00655F12" w:rsidP="00655F12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Оборудование для нужд отдела охотничьего контроля (надзора) комитета природных ресурсов Курской области приобретено</w:t>
            </w:r>
          </w:p>
        </w:tc>
        <w:tc>
          <w:tcPr>
            <w:tcW w:w="1994" w:type="dxa"/>
          </w:tcPr>
          <w:p w:rsidR="00655F12" w:rsidRPr="00655F12" w:rsidRDefault="00655F12" w:rsidP="00655F12">
            <w:pPr>
              <w:pStyle w:val="ConsPlusCell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Комитет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01.08</w:t>
            </w:r>
          </w:p>
        </w:tc>
        <w:tc>
          <w:tcPr>
            <w:tcW w:w="805" w:type="dxa"/>
          </w:tcPr>
          <w:p w:rsidR="00655F12" w:rsidRPr="00655F12" w:rsidRDefault="00655F12" w:rsidP="00655F12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F12" w:rsidRPr="00655F12" w:rsidRDefault="00655F12" w:rsidP="00655F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2E" w:rsidRDefault="00BE4C2E" w:rsidP="00B24B04">
      <w:r>
        <w:separator/>
      </w:r>
    </w:p>
  </w:endnote>
  <w:endnote w:type="continuationSeparator" w:id="0">
    <w:p w:rsidR="00BE4C2E" w:rsidRDefault="00BE4C2E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2E" w:rsidRDefault="00BE4C2E" w:rsidP="00B24B04">
      <w:r>
        <w:separator/>
      </w:r>
    </w:p>
  </w:footnote>
  <w:footnote w:type="continuationSeparator" w:id="0">
    <w:p w:rsidR="00BE4C2E" w:rsidRDefault="00BE4C2E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E2" w:rsidRDefault="000941E2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130A">
      <w:rPr>
        <w:rStyle w:val="ab"/>
        <w:noProof/>
      </w:rPr>
      <w:t>2</w:t>
    </w:r>
    <w:r>
      <w:rPr>
        <w:rStyle w:val="ab"/>
      </w:rPr>
      <w:fldChar w:fldCharType="end"/>
    </w:r>
  </w:p>
  <w:p w:rsidR="000941E2" w:rsidRDefault="000941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27CFB"/>
    <w:rsid w:val="0003359F"/>
    <w:rsid w:val="00035301"/>
    <w:rsid w:val="00045C96"/>
    <w:rsid w:val="00046430"/>
    <w:rsid w:val="00056515"/>
    <w:rsid w:val="00057221"/>
    <w:rsid w:val="000607C3"/>
    <w:rsid w:val="0008040C"/>
    <w:rsid w:val="0008115D"/>
    <w:rsid w:val="00083A5C"/>
    <w:rsid w:val="000859D3"/>
    <w:rsid w:val="00086021"/>
    <w:rsid w:val="00092FDE"/>
    <w:rsid w:val="000936DD"/>
    <w:rsid w:val="000941E2"/>
    <w:rsid w:val="00095251"/>
    <w:rsid w:val="00097B3E"/>
    <w:rsid w:val="000A00AA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0F3A6A"/>
    <w:rsid w:val="00104FD9"/>
    <w:rsid w:val="00110F9C"/>
    <w:rsid w:val="00114AE5"/>
    <w:rsid w:val="00116724"/>
    <w:rsid w:val="00130754"/>
    <w:rsid w:val="00143348"/>
    <w:rsid w:val="0014414D"/>
    <w:rsid w:val="00150587"/>
    <w:rsid w:val="00150C0A"/>
    <w:rsid w:val="00163B68"/>
    <w:rsid w:val="00164DF3"/>
    <w:rsid w:val="00176555"/>
    <w:rsid w:val="00176CE2"/>
    <w:rsid w:val="00180437"/>
    <w:rsid w:val="0018208C"/>
    <w:rsid w:val="001902EA"/>
    <w:rsid w:val="00191E21"/>
    <w:rsid w:val="001A3687"/>
    <w:rsid w:val="001A57DF"/>
    <w:rsid w:val="001B1B12"/>
    <w:rsid w:val="001B69BD"/>
    <w:rsid w:val="001B6AE6"/>
    <w:rsid w:val="001C5502"/>
    <w:rsid w:val="001C5E86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071A"/>
    <w:rsid w:val="00385DDC"/>
    <w:rsid w:val="003867B5"/>
    <w:rsid w:val="0039091D"/>
    <w:rsid w:val="00397FC2"/>
    <w:rsid w:val="003A4270"/>
    <w:rsid w:val="003A5948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109B"/>
    <w:rsid w:val="00405CE9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4C8B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2920"/>
    <w:rsid w:val="004B5C19"/>
    <w:rsid w:val="004B788A"/>
    <w:rsid w:val="004B79E2"/>
    <w:rsid w:val="004D06EB"/>
    <w:rsid w:val="004D405A"/>
    <w:rsid w:val="004D63B1"/>
    <w:rsid w:val="004E7F99"/>
    <w:rsid w:val="004F35C0"/>
    <w:rsid w:val="00510BA4"/>
    <w:rsid w:val="00511F48"/>
    <w:rsid w:val="00512832"/>
    <w:rsid w:val="00514A2C"/>
    <w:rsid w:val="00516494"/>
    <w:rsid w:val="00521CC8"/>
    <w:rsid w:val="00533879"/>
    <w:rsid w:val="00535371"/>
    <w:rsid w:val="005371F3"/>
    <w:rsid w:val="00537890"/>
    <w:rsid w:val="0054198A"/>
    <w:rsid w:val="005435B8"/>
    <w:rsid w:val="00547773"/>
    <w:rsid w:val="00547FEF"/>
    <w:rsid w:val="00554BC2"/>
    <w:rsid w:val="00556B80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37FD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130A"/>
    <w:rsid w:val="00642D76"/>
    <w:rsid w:val="00645BC8"/>
    <w:rsid w:val="0064753F"/>
    <w:rsid w:val="00655058"/>
    <w:rsid w:val="0065569E"/>
    <w:rsid w:val="00655F12"/>
    <w:rsid w:val="00661643"/>
    <w:rsid w:val="00662FA2"/>
    <w:rsid w:val="00665DA2"/>
    <w:rsid w:val="00667A30"/>
    <w:rsid w:val="006739D0"/>
    <w:rsid w:val="00676A04"/>
    <w:rsid w:val="00680250"/>
    <w:rsid w:val="006A31B8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17A4"/>
    <w:rsid w:val="007061AB"/>
    <w:rsid w:val="00715743"/>
    <w:rsid w:val="00723430"/>
    <w:rsid w:val="00724CB1"/>
    <w:rsid w:val="00737DB7"/>
    <w:rsid w:val="00740D72"/>
    <w:rsid w:val="00743BEE"/>
    <w:rsid w:val="0075353D"/>
    <w:rsid w:val="00761059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68EE"/>
    <w:rsid w:val="007E1257"/>
    <w:rsid w:val="007E327E"/>
    <w:rsid w:val="007E381E"/>
    <w:rsid w:val="007E397B"/>
    <w:rsid w:val="007E3DB8"/>
    <w:rsid w:val="007F1A6C"/>
    <w:rsid w:val="007F686A"/>
    <w:rsid w:val="007F6F32"/>
    <w:rsid w:val="008023E8"/>
    <w:rsid w:val="0080264B"/>
    <w:rsid w:val="008048D2"/>
    <w:rsid w:val="00804AC9"/>
    <w:rsid w:val="008110DD"/>
    <w:rsid w:val="00812ADA"/>
    <w:rsid w:val="0081587A"/>
    <w:rsid w:val="008169DC"/>
    <w:rsid w:val="00822F7C"/>
    <w:rsid w:val="00835E29"/>
    <w:rsid w:val="008415F5"/>
    <w:rsid w:val="008453E3"/>
    <w:rsid w:val="008463DA"/>
    <w:rsid w:val="00846C39"/>
    <w:rsid w:val="00850991"/>
    <w:rsid w:val="00852191"/>
    <w:rsid w:val="00853E64"/>
    <w:rsid w:val="008601D9"/>
    <w:rsid w:val="00864569"/>
    <w:rsid w:val="00866499"/>
    <w:rsid w:val="00870E44"/>
    <w:rsid w:val="00870EE2"/>
    <w:rsid w:val="008725A5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7648"/>
    <w:rsid w:val="009007D0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3F5C"/>
    <w:rsid w:val="009D612F"/>
    <w:rsid w:val="009D6BEA"/>
    <w:rsid w:val="009D7B87"/>
    <w:rsid w:val="009E1231"/>
    <w:rsid w:val="009E3A7A"/>
    <w:rsid w:val="009E49A5"/>
    <w:rsid w:val="009F1BB2"/>
    <w:rsid w:val="009F2199"/>
    <w:rsid w:val="00A01EE5"/>
    <w:rsid w:val="00A15A78"/>
    <w:rsid w:val="00A25236"/>
    <w:rsid w:val="00A25817"/>
    <w:rsid w:val="00A31916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4EA"/>
    <w:rsid w:val="00A9667E"/>
    <w:rsid w:val="00AB3C50"/>
    <w:rsid w:val="00AB58B5"/>
    <w:rsid w:val="00AC1B43"/>
    <w:rsid w:val="00AC2D27"/>
    <w:rsid w:val="00AC32D1"/>
    <w:rsid w:val="00AD1B35"/>
    <w:rsid w:val="00AD2E03"/>
    <w:rsid w:val="00AD4318"/>
    <w:rsid w:val="00AD4974"/>
    <w:rsid w:val="00AD5B1B"/>
    <w:rsid w:val="00AE0F1F"/>
    <w:rsid w:val="00AE38C9"/>
    <w:rsid w:val="00AF4C67"/>
    <w:rsid w:val="00B001C7"/>
    <w:rsid w:val="00B02D72"/>
    <w:rsid w:val="00B02EA8"/>
    <w:rsid w:val="00B034FA"/>
    <w:rsid w:val="00B20B6A"/>
    <w:rsid w:val="00B22314"/>
    <w:rsid w:val="00B24B04"/>
    <w:rsid w:val="00B507DC"/>
    <w:rsid w:val="00B51DF7"/>
    <w:rsid w:val="00B52EDA"/>
    <w:rsid w:val="00B56D8E"/>
    <w:rsid w:val="00B64F7C"/>
    <w:rsid w:val="00B745AF"/>
    <w:rsid w:val="00B76B4E"/>
    <w:rsid w:val="00B778A6"/>
    <w:rsid w:val="00B81ED1"/>
    <w:rsid w:val="00B82ACA"/>
    <w:rsid w:val="00B840AF"/>
    <w:rsid w:val="00B872CB"/>
    <w:rsid w:val="00B87F09"/>
    <w:rsid w:val="00B946BA"/>
    <w:rsid w:val="00BA1059"/>
    <w:rsid w:val="00BB5F9B"/>
    <w:rsid w:val="00BC2C40"/>
    <w:rsid w:val="00BC68A1"/>
    <w:rsid w:val="00BC78D3"/>
    <w:rsid w:val="00BD02C4"/>
    <w:rsid w:val="00BD0F85"/>
    <w:rsid w:val="00BD1CB1"/>
    <w:rsid w:val="00BD2A94"/>
    <w:rsid w:val="00BD5F26"/>
    <w:rsid w:val="00BE16E5"/>
    <w:rsid w:val="00BE4C2E"/>
    <w:rsid w:val="00BE75DF"/>
    <w:rsid w:val="00BF4F0D"/>
    <w:rsid w:val="00BF5234"/>
    <w:rsid w:val="00BF57DD"/>
    <w:rsid w:val="00C07F84"/>
    <w:rsid w:val="00C10F98"/>
    <w:rsid w:val="00C139F5"/>
    <w:rsid w:val="00C22415"/>
    <w:rsid w:val="00C230E3"/>
    <w:rsid w:val="00C23753"/>
    <w:rsid w:val="00C23D68"/>
    <w:rsid w:val="00C24755"/>
    <w:rsid w:val="00C2593A"/>
    <w:rsid w:val="00C30026"/>
    <w:rsid w:val="00C35B80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78F1"/>
    <w:rsid w:val="00D0703C"/>
    <w:rsid w:val="00D120C4"/>
    <w:rsid w:val="00D12C12"/>
    <w:rsid w:val="00D17460"/>
    <w:rsid w:val="00D238F1"/>
    <w:rsid w:val="00D25A6F"/>
    <w:rsid w:val="00D27928"/>
    <w:rsid w:val="00D32391"/>
    <w:rsid w:val="00D33F86"/>
    <w:rsid w:val="00D37DE0"/>
    <w:rsid w:val="00D40F04"/>
    <w:rsid w:val="00D4332F"/>
    <w:rsid w:val="00D513E5"/>
    <w:rsid w:val="00D56ECE"/>
    <w:rsid w:val="00D57EB3"/>
    <w:rsid w:val="00D62783"/>
    <w:rsid w:val="00D7450E"/>
    <w:rsid w:val="00D7471A"/>
    <w:rsid w:val="00D76297"/>
    <w:rsid w:val="00D77724"/>
    <w:rsid w:val="00D80068"/>
    <w:rsid w:val="00D83C43"/>
    <w:rsid w:val="00D84A32"/>
    <w:rsid w:val="00D9128D"/>
    <w:rsid w:val="00D92F9F"/>
    <w:rsid w:val="00D93802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DF73B9"/>
    <w:rsid w:val="00E0270A"/>
    <w:rsid w:val="00E04C12"/>
    <w:rsid w:val="00E04F23"/>
    <w:rsid w:val="00E05466"/>
    <w:rsid w:val="00E067E4"/>
    <w:rsid w:val="00E06C48"/>
    <w:rsid w:val="00E07E6A"/>
    <w:rsid w:val="00E10716"/>
    <w:rsid w:val="00E1081F"/>
    <w:rsid w:val="00E12B94"/>
    <w:rsid w:val="00E13E7E"/>
    <w:rsid w:val="00E16B3F"/>
    <w:rsid w:val="00E16C75"/>
    <w:rsid w:val="00E30721"/>
    <w:rsid w:val="00E31B91"/>
    <w:rsid w:val="00E347C2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92A92"/>
    <w:rsid w:val="00EA2A2A"/>
    <w:rsid w:val="00EB0A0E"/>
    <w:rsid w:val="00EB3621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65EF"/>
    <w:rsid w:val="00F271FF"/>
    <w:rsid w:val="00F30B1B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9656F"/>
    <w:rsid w:val="00F978A4"/>
    <w:rsid w:val="00FA00BC"/>
    <w:rsid w:val="00FA15DB"/>
    <w:rsid w:val="00FA3AC6"/>
    <w:rsid w:val="00FB372F"/>
    <w:rsid w:val="00FB59A8"/>
    <w:rsid w:val="00FC1167"/>
    <w:rsid w:val="00FC2719"/>
    <w:rsid w:val="00FC7590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DEA9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31F2-6009-4413-BCCC-F021C07C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18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404</cp:revision>
  <cp:lastPrinted>2022-10-05T11:18:00Z</cp:lastPrinted>
  <dcterms:created xsi:type="dcterms:W3CDTF">2015-10-26T05:23:00Z</dcterms:created>
  <dcterms:modified xsi:type="dcterms:W3CDTF">2022-10-05T11:19:00Z</dcterms:modified>
</cp:coreProperties>
</file>