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50000"/>
      <w:bookmarkEnd w:id="0"/>
      <w:r>
        <w:rPr/>
        <w:t>Приложение 5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Рекомендуемый образец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</w:t>
      </w:r>
      <w:r>
        <w:rPr>
          <w:sz w:val="22"/>
        </w:rPr>
        <w:t>Мотивированный отказ</w:t>
      </w:r>
    </w:p>
    <w:p>
      <w:pPr>
        <w:pStyle w:val="Style36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в предоставлении водного объекта или его части на основании решения о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>предоставлении водного объекта в пользование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Исх. N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>_____                         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>(фамилия, имя, отчество (при наличии)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>заявителя/представителя заявителя)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Отказать в предоставлении водного объекта или  его  части  на   основании</w:t>
      </w:r>
    </w:p>
    <w:p>
      <w:pPr>
        <w:pStyle w:val="Style36"/>
        <w:rPr>
          <w:sz w:val="22"/>
        </w:rPr>
      </w:pPr>
      <w:r>
        <w:rPr>
          <w:sz w:val="22"/>
        </w:rPr>
        <w:t>решения    о     предоставлении   водного   объекта   в       пользование</w:t>
      </w:r>
    </w:p>
    <w:p>
      <w:pPr>
        <w:pStyle w:val="Style36"/>
        <w:rPr>
          <w:sz w:val="22"/>
        </w:rPr>
      </w:pPr>
      <w:r>
        <w:rPr>
          <w:sz w:val="22"/>
        </w:rPr>
        <w:t>вх. N ________________________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     </w:t>
      </w:r>
      <w:r>
        <w:rPr>
          <w:sz w:val="22"/>
        </w:rPr>
        <w:t xml:space="preserve">документы, указанные в </w:t>
      </w:r>
      <w:hyperlink r:id="rId2">
        <w:r>
          <w:rPr>
            <w:rStyle w:val="Style"/>
            <w:sz w:val="22"/>
          </w:rPr>
          <w:t>пунктах 10</w:t>
        </w:r>
      </w:hyperlink>
      <w:r>
        <w:rPr>
          <w:sz w:val="22"/>
        </w:rPr>
        <w:t xml:space="preserve">, </w:t>
      </w:r>
      <w:hyperlink r:id="rId3">
        <w:r>
          <w:rPr>
            <w:rStyle w:val="Style"/>
            <w:sz w:val="22"/>
          </w:rPr>
          <w:t>11  -  14</w:t>
        </w:r>
      </w:hyperlink>
      <w:r>
        <w:rPr>
          <w:sz w:val="22"/>
        </w:rPr>
        <w:t xml:space="preserve">  Правил    подготовки и</w:t>
      </w:r>
    </w:p>
    <w:p>
      <w:pPr>
        <w:pStyle w:val="Style36"/>
        <w:rPr>
          <w:sz w:val="22"/>
        </w:rPr>
      </w:pPr>
      <w:r>
        <w:rPr>
          <w:sz w:val="22"/>
        </w:rPr>
        <w:t>принятия  решения  о  предоставлении  водного  объекта  в    пользование,</w:t>
      </w:r>
    </w:p>
    <w:p>
      <w:pPr>
        <w:pStyle w:val="Style36"/>
        <w:rPr/>
      </w:pPr>
      <w:r>
        <w:rPr>
          <w:sz w:val="22"/>
        </w:rPr>
        <w:t xml:space="preserve">утвержденных </w:t>
      </w:r>
      <w:hyperlink r:id="rId4">
        <w:r>
          <w:rPr>
            <w:rStyle w:val="Style"/>
            <w:sz w:val="22"/>
          </w:rPr>
          <w:t>постановлением</w:t>
        </w:r>
      </w:hyperlink>
      <w:r>
        <w:rPr>
          <w:sz w:val="22"/>
        </w:rPr>
        <w:t xml:space="preserve"> Правительства  Российской  Федерации  от   30</w:t>
      </w:r>
    </w:p>
    <w:p>
      <w:pPr>
        <w:pStyle w:val="Style36"/>
        <w:rPr>
          <w:sz w:val="22"/>
        </w:rPr>
      </w:pPr>
      <w:r>
        <w:rPr>
          <w:sz w:val="22"/>
        </w:rPr>
        <w:t>декабря 2006 г.  N 844  "О  порядке  подготовки  и  принятия    решения о</w:t>
      </w:r>
    </w:p>
    <w:p>
      <w:pPr>
        <w:pStyle w:val="Style36"/>
        <w:rPr>
          <w:sz w:val="22"/>
        </w:rPr>
      </w:pPr>
      <w:r>
        <w:rPr>
          <w:sz w:val="22"/>
        </w:rPr>
        <w:t>предоставлении водного объекта в пользование", представлены с  нарушением</w:t>
      </w:r>
    </w:p>
    <w:p>
      <w:pPr>
        <w:pStyle w:val="Style36"/>
        <w:rPr>
          <w:sz w:val="22"/>
        </w:rPr>
      </w:pPr>
      <w:r>
        <w:rPr>
          <w:sz w:val="22"/>
        </w:rPr>
        <w:t>требований, установленных настоящими Правилами;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получен  отказ  федеральных  органов  исполнительной      власти (их</w:t>
      </w:r>
    </w:p>
    <w:p>
      <w:pPr>
        <w:pStyle w:val="Style36"/>
        <w:rPr/>
      </w:pPr>
      <w:r>
        <w:rPr>
          <w:sz w:val="22"/>
        </w:rPr>
        <w:t xml:space="preserve">территориальных органов), указанных в </w:t>
      </w:r>
      <w:hyperlink r:id="rId5">
        <w:r>
          <w:rPr>
            <w:rStyle w:val="Style"/>
            <w:sz w:val="22"/>
          </w:rPr>
          <w:t>подпункте  "г"  пункта  20</w:t>
        </w:r>
      </w:hyperlink>
      <w:r>
        <w:rPr>
          <w:sz w:val="22"/>
        </w:rPr>
        <w:t xml:space="preserve">   Правил</w:t>
      </w:r>
    </w:p>
    <w:p>
      <w:pPr>
        <w:pStyle w:val="Style36"/>
        <w:rPr>
          <w:sz w:val="22"/>
        </w:rPr>
      </w:pPr>
      <w:r>
        <w:rPr>
          <w:sz w:val="22"/>
        </w:rPr>
        <w:t>подготовки  и  принятия  решения  о  предоставлении  водного    объекта в</w:t>
      </w:r>
    </w:p>
    <w:p>
      <w:pPr>
        <w:pStyle w:val="Style36"/>
        <w:rPr/>
      </w:pPr>
      <w:r>
        <w:rPr>
          <w:sz w:val="22"/>
        </w:rPr>
        <w:t xml:space="preserve">пользование,  утвержденных  </w:t>
      </w:r>
      <w:hyperlink r:id="rId6">
        <w:r>
          <w:rPr>
            <w:rStyle w:val="Style"/>
            <w:sz w:val="22"/>
          </w:rPr>
          <w:t>постановлением</w:t>
        </w:r>
      </w:hyperlink>
      <w:r>
        <w:rPr>
          <w:sz w:val="22"/>
        </w:rPr>
        <w:t xml:space="preserve">   Правительства     Российской</w:t>
      </w:r>
    </w:p>
    <w:p>
      <w:pPr>
        <w:pStyle w:val="Style36"/>
        <w:rPr>
          <w:sz w:val="22"/>
        </w:rPr>
      </w:pPr>
      <w:r>
        <w:rPr>
          <w:sz w:val="22"/>
        </w:rPr>
        <w:t>Федерации от 30 декабря 2006 г. N 844 "О порядке подготовки  и   принятия</w:t>
      </w:r>
    </w:p>
    <w:p>
      <w:pPr>
        <w:pStyle w:val="Style36"/>
        <w:rPr>
          <w:sz w:val="22"/>
        </w:rPr>
      </w:pPr>
      <w:r>
        <w:rPr>
          <w:sz w:val="22"/>
        </w:rPr>
        <w:t>решения о предоставлении водного объекта в пользование", в   согласовании</w:t>
      </w:r>
    </w:p>
    <w:p>
      <w:pPr>
        <w:pStyle w:val="Style36"/>
        <w:rPr>
          <w:sz w:val="22"/>
        </w:rPr>
      </w:pPr>
      <w:r>
        <w:rPr>
          <w:sz w:val="22"/>
        </w:rPr>
        <w:t>условий водопользования;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право пользования частью водного объекта,  указанной  в   заявлении,</w:t>
      </w:r>
    </w:p>
    <w:p>
      <w:pPr>
        <w:pStyle w:val="Style36"/>
        <w:rPr>
          <w:sz w:val="22"/>
        </w:rPr>
      </w:pPr>
      <w:r>
        <w:rPr>
          <w:sz w:val="22"/>
        </w:rPr>
        <w:t>предоставлено другому лицу, либо водный объект, указанный  в   заявлении,</w:t>
      </w:r>
    </w:p>
    <w:p>
      <w:pPr>
        <w:pStyle w:val="Style36"/>
        <w:rPr>
          <w:sz w:val="22"/>
        </w:rPr>
      </w:pPr>
      <w:r>
        <w:rPr>
          <w:sz w:val="22"/>
        </w:rPr>
        <w:t>предоставлен в обособленное водопользование;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использование водного объекта  в  заявленных  целях  запрещено  или</w:t>
      </w:r>
    </w:p>
    <w:p>
      <w:pPr>
        <w:pStyle w:val="Style36"/>
        <w:rPr>
          <w:sz w:val="22"/>
        </w:rPr>
      </w:pPr>
      <w:r>
        <w:rPr>
          <w:sz w:val="22"/>
        </w:rPr>
        <w:t>ограничено в соответствии с законодательством Российской Федерации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(указывается мотивированный отказ в предоставлении водного объекта или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его части на основании решения о предоставлении водного объекта в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>пользование)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М.П.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20____г.   _________________________   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>(дата)                 (Ф.И.О. руководителя        (подпись)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>уполномоченного органа)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51347/1010" TargetMode="External"/><Relationship Id="rId3" Type="http://schemas.openxmlformats.org/officeDocument/2006/relationships/hyperlink" Target="http://ivo.garant.ru/document/redirect/12151347/1011" TargetMode="External"/><Relationship Id="rId4" Type="http://schemas.openxmlformats.org/officeDocument/2006/relationships/hyperlink" Target="http://ivo.garant.ru/document/redirect/12151347/0" TargetMode="External"/><Relationship Id="rId5" Type="http://schemas.openxmlformats.org/officeDocument/2006/relationships/hyperlink" Target="http://ivo.garant.ru/document/redirect/12151347/1204" TargetMode="External"/><Relationship Id="rId6" Type="http://schemas.openxmlformats.org/officeDocument/2006/relationships/hyperlink" Target="http://ivo.garant.ru/document/redirect/12151347/0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2</Pages>
  <Words>300</Words>
  <Characters>2230</Characters>
  <CharactersWithSpaces>2866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2021-03-16T10:13:13Z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