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141"/>
        <w:gridCol w:w="5263"/>
      </w:tblGrid>
      <w:tr>
        <w:trPr>
          <w:trHeight w:val="1188" w:hRule="atLeast"/>
        </w:trPr>
        <w:tc>
          <w:tcPr>
            <w:tcW w:w="4141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8789" w:leader="none"/>
              </w:tabs>
              <w:ind w:right="140" w:hanging="0"/>
              <w:jc w:val="center"/>
              <w:rPr>
                <w:b/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</w:r>
          </w:p>
        </w:tc>
        <w:tc>
          <w:tcPr>
            <w:tcW w:w="5263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color w:val="000000"/>
                <w:szCs w:val="28"/>
              </w:rPr>
              <w:t>Утвержден</w:t>
            </w:r>
          </w:p>
          <w:p>
            <w:pPr>
              <w:pStyle w:val="Normal"/>
              <w:keepNext w:val="true"/>
              <w:keepLines/>
              <w:jc w:val="center"/>
              <w:rPr/>
            </w:pPr>
            <w:r>
              <w:rPr>
                <w:color w:val="000000"/>
                <w:szCs w:val="28"/>
              </w:rPr>
              <w:t>приказом департамента экологической безопасности и природопользования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Cs w:val="28"/>
              </w:rPr>
              <w:t>Курской области</w:t>
            </w:r>
          </w:p>
          <w:p>
            <w:pPr>
              <w:pStyle w:val="Normal"/>
              <w:keepNext w:val="true"/>
              <w:keepLines/>
              <w:widowControl w:val="false"/>
              <w:jc w:val="center"/>
              <w:rPr/>
            </w:pPr>
            <w:r>
              <w:rPr>
                <w:color w:val="000000"/>
                <w:szCs w:val="28"/>
              </w:rPr>
              <w:t>от 21.01.2019 № 01-06/21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8"/>
              </w:rPr>
              <w:t>(c изменениями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Cs w:val="28"/>
              </w:rPr>
              <w:t xml:space="preserve">от 30.05.2019 </w:t>
            </w:r>
            <w:r>
              <w:rPr>
                <w:caps/>
                <w:color w:val="000000"/>
                <w:szCs w:val="28"/>
              </w:rPr>
              <w:t>№ 01-06/204,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от 18.12.2019 № 01-06/641,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от 09.06.2021 № 01-08/412</w:t>
            </w:r>
            <w:bookmarkStart w:id="0" w:name="_GoBack"/>
            <w:bookmarkEnd w:id="0"/>
            <w:r>
              <w:rPr/>
              <w:t>)</w:t>
            </w:r>
          </w:p>
          <w:p>
            <w:pPr>
              <w:pStyle w:val="Normal"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/>
            </w:r>
          </w:p>
        </w:tc>
      </w:tr>
    </w:tbl>
    <w:p>
      <w:pPr>
        <w:pStyle w:val="ConsPlusTitle"/>
        <w:tabs>
          <w:tab w:val="clear" w:pos="720"/>
          <w:tab w:val="left" w:pos="8789" w:leader="none"/>
        </w:tabs>
        <w:ind w:right="140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ConsPlusTitle"/>
        <w:tabs>
          <w:tab w:val="clear" w:pos="720"/>
          <w:tab w:val="left" w:pos="8789" w:leader="none"/>
        </w:tabs>
        <w:ind w:right="140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ConsPlusTitl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 w:val="28"/>
          <w:szCs w:val="28"/>
        </w:rPr>
        <w:t>АДМИНИСТРАТИВНЫЙ РЕГЛАМЕНТ</w:t>
      </w:r>
    </w:p>
    <w:p>
      <w:pPr>
        <w:pStyle w:val="ConsPlusTitl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color w:val="000000"/>
          <w:sz w:val="28"/>
          <w:szCs w:val="28"/>
        </w:rPr>
        <w:t xml:space="preserve">предоставления комитетом природных ресурсов </w:t>
      </w:r>
    </w:p>
    <w:p>
      <w:pPr>
        <w:pStyle w:val="ConsPlusTitl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color w:val="000000"/>
          <w:sz w:val="28"/>
          <w:szCs w:val="28"/>
        </w:rPr>
        <w:t xml:space="preserve">Курской области государственной услуги </w:t>
      </w:r>
    </w:p>
    <w:p>
      <w:pPr>
        <w:pStyle w:val="ConsPlusTitl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 w:val="28"/>
          <w:szCs w:val="28"/>
        </w:rPr>
        <w:t>«</w:t>
      </w:r>
      <w:bookmarkStart w:id="1" w:name="_Hlk45110334"/>
      <w:r>
        <w:rPr>
          <w:sz w:val="28"/>
          <w:szCs w:val="28"/>
        </w:rPr>
        <w:t>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</w:t>
      </w:r>
      <w:bookmarkEnd w:id="1"/>
      <w:r>
        <w:rPr>
          <w:sz w:val="28"/>
          <w:szCs w:val="28"/>
        </w:rPr>
        <w:t xml:space="preserve">»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>
          <w:spacing w:val="-4"/>
        </w:rPr>
      </w:pPr>
      <w:r>
        <w:rPr>
          <w:color w:val="000000"/>
          <w:spacing w:val="-4"/>
          <w:szCs w:val="28"/>
        </w:rPr>
        <w:t xml:space="preserve">Административный регламент предоставления государственной услуги </w:t>
      </w:r>
      <w:r>
        <w:rPr>
          <w:spacing w:val="-4"/>
          <w:szCs w:val="28"/>
        </w:rPr>
        <w:t xml:space="preserve">«Согласование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документации» (далее – Административный регламент) </w:t>
      </w:r>
      <w:r>
        <w:rPr>
          <w:color w:val="000000"/>
          <w:spacing w:val="-4"/>
          <w:szCs w:val="28"/>
        </w:rPr>
        <w:t xml:space="preserve">устанавливает сроки и последовательность действий (административных процедур) при предоставлении государственной услуги по </w:t>
      </w:r>
      <w:r>
        <w:rPr>
          <w:spacing w:val="-4"/>
          <w:szCs w:val="28"/>
        </w:rPr>
        <w:t>согласованию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</w:t>
      </w:r>
      <w:r>
        <w:rPr>
          <w:spacing w:val="-4"/>
        </w:rPr>
        <w:t xml:space="preserve"> (далее – государственная услуга).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1.2. Круг заявителей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Заявителями являются, заинтересованные в получении государственной услуги субъекты предпринимательской деятельности, в том числе участники простого товарищества, иностранные граждане, юридические лица и индивидуальные предприниматели, получившие в установленном порядке лицензии на право разведки и добычи или геологического изучения, разведки и добычи общераспространенных полезных ископаемых на территории Курской области, либо их уполномоченные представители.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От имени заявителя может выступать представитель в силу полномочия, основанного на доверенности, указании </w:t>
      </w:r>
      <w:r>
        <w:rPr>
          <w:color w:val="000000"/>
          <w:szCs w:val="28"/>
        </w:rPr>
        <w:t>закона</w:t>
      </w:r>
      <w:r>
        <w:rPr>
          <w:szCs w:val="28"/>
        </w:rPr>
        <w:t xml:space="preserve"> либо акте уполномоченного на то государственного органа или органа местного самоуправления, оформленной в соответствии с требованиями законодательства.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 xml:space="preserve">1.3. </w:t>
      </w:r>
      <w:r>
        <w:rPr>
          <w:b/>
          <w:bCs/>
          <w:szCs w:val="28"/>
        </w:rPr>
        <w:t>Требования к порядку информирования о предоставлении государственной услуги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color w:val="000000"/>
          <w:szCs w:val="28"/>
        </w:rP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</w:t>
      </w:r>
      <w:r>
        <w:rPr>
          <w:b/>
          <w:bCs/>
          <w:sz w:val="27"/>
          <w:szCs w:val="27"/>
        </w:rPr>
        <w:t xml:space="preserve"> в том числе на официальном сайте органа исполнительной власти Курской области, являющегося разработчиком регламента, на официальном сайте Администрации Курской области, в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 xml:space="preserve">Информирование заявителей по вопросам предоставления  государственной услуги «Предоставление права пользования участками недр местного значения для добычи подземных вод или для геологического изучения в целях поисков и оценки подземных вод и их добычи на территории Курской области», в том числе о ходе предоставления государственной услуги, проводится путем устного информирования, письменного информирования (в том числе в электронной форме). 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Информирование заявителей организуется следующим образом: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индивидуальное информирование (устное, письменное);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публичное информирование (средства массовой информации, сеть «Интернет»).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Индивидуальное устное информирование осуществляется специалистами комитета природных ресурсов Курской области (далее – комитет) при обращении заявителей за информацией лично (в том числе по телефону).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График работы комитета, график личного приема заявителей размещается в информационно-телекоммуникационной сети «Интернет» на официальном сайте комитета и на информационном стенде.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pacing w:val="-4"/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iCs/>
          <w:color w:val="000000"/>
          <w:spacing w:val="-4"/>
          <w:szCs w:val="28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–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</w:t>
      </w:r>
      <w:r>
        <w:rPr>
          <w:iCs/>
          <w:color w:val="000000"/>
          <w:szCs w:val="28"/>
        </w:rPr>
        <w:t>ажданину сообщается номер телефона, по которому он может получить необходимую информацию.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color w:val="000000"/>
          <w:szCs w:val="28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При ответах на телефонные звонки и устные обращения специалисты соблюдают правила служебной этики.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Письменное, индивидуальное информирование осуществляется в письменной форме за подписью председателя комитета либо заместителя председателя комитета.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</w:t>
      </w:r>
      <w:r>
        <w:rPr>
          <w:color w:val="000000"/>
          <w:sz w:val="28"/>
          <w:szCs w:val="28"/>
          <w:highlight w:val="white"/>
        </w:rPr>
        <w:t>со дня регистрации заявления</w:t>
      </w:r>
      <w:r>
        <w:rPr>
          <w:color w:val="000000"/>
          <w:szCs w:val="28"/>
        </w:rPr>
        <w:t xml:space="preserve"> в системе электронного документооборота «Дело». </w:t>
      </w:r>
      <w:bookmarkStart w:id="2" w:name="_Hlk45091719"/>
      <w:r>
        <w:rPr>
          <w:szCs w:val="28"/>
        </w:rPr>
        <w:t>Максимально допустимый срок регистрации письменного заявления в системе электронного документооборота «Дело» составляет          1 рабочий день со дня обращения заявителя. Регистрация заявления, в том числе в электронной форме, осуществляется путем присвоения входящего номера с указанием даты его получения.</w:t>
      </w:r>
      <w:bookmarkEnd w:id="2"/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Ответ на заявление, поступившее в комитет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информационно-телекоммуникационной сети «Интернет».</w:t>
      </w:r>
    </w:p>
    <w:p>
      <w:pPr>
        <w:pStyle w:val="Normal"/>
        <w:widowControl w:val="false"/>
        <w:ind w:firstLine="709"/>
        <w:jc w:val="both"/>
        <w:rPr/>
      </w:pPr>
      <w:r>
        <w:rPr>
          <w:bCs/>
          <w:color w:val="000000"/>
          <w:szCs w:val="28"/>
        </w:rPr>
        <w:t xml:space="preserve">На Едином портале государственных и муниципальных услуг (функций) (далее – </w:t>
      </w:r>
      <w:r>
        <w:rPr>
          <w:color w:val="000000"/>
          <w:szCs w:val="28"/>
        </w:rPr>
        <w:t>Единый портал) можно получить информацию: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 круге заявителей;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 сроке предоставления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 результате предоставления государственной услуги, порядок выдачи результата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об исчерпывающем перечне оснований для приостановления предоставления государственной услуги или отказа в предоставлении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 xml:space="preserve">Информация о государственной услуге предоставляется бесплатно. 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color w:val="000000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>
      <w:pPr>
        <w:pStyle w:val="Normal"/>
        <w:widowControl w:val="false"/>
        <w:tabs>
          <w:tab w:val="clear" w:pos="720"/>
          <w:tab w:val="left" w:pos="1560" w:leader="none"/>
        </w:tabs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На информационных стендах в помещении, предназначенном для </w:t>
      </w:r>
      <w:r>
        <w:rPr>
          <w:iCs/>
          <w:color w:val="000000"/>
          <w:szCs w:val="28"/>
          <w:lang w:eastAsia="ar-SA"/>
        </w:rPr>
        <w:t xml:space="preserve">предоставления государственной услуги, </w:t>
      </w:r>
      <w:r>
        <w:rPr>
          <w:color w:val="000000"/>
          <w:szCs w:val="28"/>
          <w:lang w:eastAsia="ar-SA"/>
        </w:rPr>
        <w:t>размещается следующая информация: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  <w:lang w:eastAsia="ar-SA"/>
        </w:rPr>
        <w:t>краткое описание порядка предоставления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извлечения из настоящего Административного регламента с Приложениями (полная версия на официальном сайте комитета в информационно-телекоммуникационной сети «Интернет»);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>
        <w:rPr>
          <w:iCs/>
          <w:color w:val="000000"/>
          <w:szCs w:val="28"/>
          <w:lang w:eastAsia="ar-SA"/>
        </w:rPr>
        <w:t>предоставления государственной услуги</w:t>
      </w:r>
      <w:r>
        <w:rPr>
          <w:color w:val="000000"/>
          <w:szCs w:val="28"/>
          <w:lang w:eastAsia="ar-SA"/>
        </w:rPr>
        <w:t>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перечни документов, необходимых для </w:t>
      </w:r>
      <w:r>
        <w:rPr>
          <w:iCs/>
          <w:color w:val="000000"/>
          <w:szCs w:val="28"/>
          <w:lang w:eastAsia="ar-SA"/>
        </w:rPr>
        <w:t>предоставления государственной услуги</w:t>
      </w:r>
      <w:r>
        <w:rPr>
          <w:color w:val="000000"/>
          <w:szCs w:val="28"/>
          <w:lang w:eastAsia="ar-SA"/>
        </w:rPr>
        <w:t>, и требования, предъявляемые к этим документам;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порядок обжалования решения, действий или бездействия должностных лиц, предоставляющих государственную услугу;</w:t>
      </w:r>
    </w:p>
    <w:p>
      <w:pPr>
        <w:pStyle w:val="Normal"/>
        <w:widowControl w:val="false"/>
        <w:tabs>
          <w:tab w:val="left" w:pos="720" w:leader="none"/>
        </w:tabs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основания для отказа в </w:t>
      </w:r>
      <w:r>
        <w:rPr>
          <w:iCs/>
          <w:color w:val="000000"/>
          <w:szCs w:val="28"/>
          <w:lang w:eastAsia="ar-SA"/>
        </w:rPr>
        <w:t>предоставлении государственной услуги</w:t>
      </w:r>
      <w:r>
        <w:rPr>
          <w:color w:val="000000"/>
          <w:szCs w:val="28"/>
          <w:lang w:eastAsia="ar-SA"/>
        </w:rPr>
        <w:t>;</w:t>
      </w:r>
    </w:p>
    <w:p>
      <w:pPr>
        <w:pStyle w:val="Normal"/>
        <w:widowControl w:val="false"/>
        <w:tabs>
          <w:tab w:val="left" w:pos="720" w:leader="none"/>
        </w:tabs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основания для приостановления </w:t>
      </w:r>
      <w:r>
        <w:rPr>
          <w:iCs/>
          <w:color w:val="000000"/>
          <w:szCs w:val="28"/>
          <w:lang w:eastAsia="ar-SA"/>
        </w:rPr>
        <w:t>предоставления государственной услуги</w:t>
      </w:r>
      <w:r>
        <w:rPr>
          <w:color w:val="000000"/>
          <w:szCs w:val="28"/>
          <w:lang w:eastAsia="ar-SA"/>
        </w:rPr>
        <w:t>;</w:t>
      </w:r>
    </w:p>
    <w:p>
      <w:pPr>
        <w:pStyle w:val="Normal"/>
        <w:widowControl w:val="false"/>
        <w:tabs>
          <w:tab w:val="left" w:pos="720" w:leader="none"/>
        </w:tabs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порядок информирования о ходе предоставления </w:t>
      </w:r>
      <w:r>
        <w:rPr>
          <w:iCs/>
          <w:color w:val="000000"/>
          <w:szCs w:val="28"/>
          <w:lang w:eastAsia="ar-SA"/>
        </w:rPr>
        <w:t>государственной</w:t>
      </w:r>
      <w:r>
        <w:rPr>
          <w:color w:val="000000"/>
          <w:szCs w:val="28"/>
          <w:lang w:eastAsia="ar-SA"/>
        </w:rPr>
        <w:t xml:space="preserve"> услуги;</w:t>
      </w:r>
    </w:p>
    <w:p>
      <w:pPr>
        <w:pStyle w:val="Normal"/>
        <w:widowControl w:val="false"/>
        <w:tabs>
          <w:tab w:val="left" w:pos="720" w:leader="none"/>
          <w:tab w:val="left" w:pos="1560" w:leader="none"/>
        </w:tabs>
        <w:ind w:firstLine="709"/>
        <w:jc w:val="both"/>
        <w:rPr/>
      </w:pPr>
      <w:r>
        <w:rPr>
          <w:color w:val="000000"/>
          <w:szCs w:val="28"/>
          <w:lang w:eastAsia="ar-SA"/>
        </w:rPr>
        <w:t>порядок получения консультаций;</w:t>
      </w:r>
    </w:p>
    <w:p>
      <w:pPr>
        <w:pStyle w:val="Normal"/>
        <w:widowControl w:val="false"/>
        <w:tabs>
          <w:tab w:val="left" w:pos="720" w:leader="none"/>
        </w:tabs>
        <w:ind w:firstLine="709"/>
        <w:jc w:val="both"/>
        <w:rPr/>
      </w:pPr>
      <w:r>
        <w:rPr>
          <w:color w:val="000000"/>
          <w:szCs w:val="28"/>
          <w:lang w:eastAsia="ar-SA"/>
        </w:rPr>
        <w:t xml:space="preserve">образцы оформления документов, необходимых для предоставления </w:t>
      </w:r>
      <w:r>
        <w:rPr>
          <w:iCs/>
          <w:color w:val="000000"/>
          <w:szCs w:val="28"/>
          <w:lang w:eastAsia="ar-SA"/>
        </w:rPr>
        <w:t>государственной</w:t>
      </w:r>
      <w:r>
        <w:rPr>
          <w:color w:val="000000"/>
          <w:szCs w:val="28"/>
          <w:lang w:eastAsia="ar-SA"/>
        </w:rPr>
        <w:t xml:space="preserve"> услуги, и требования к ним.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Комитет обеспечивает размещение и актуализацию справочной информации в установленном порядке на своем официальном сайте, на официальном сайте Администрации Курской области в сети «Интернет», а также в соответствующем разделе региональной информационной системе «Реестр государственных и муниципальных услуг (функций) Курской области» (далее - региональный реестр) и на Едином портале.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b/>
          <w:color w:val="000000"/>
          <w:szCs w:val="28"/>
          <w:lang w:val="en-US"/>
        </w:rPr>
        <w:t>II</w:t>
      </w:r>
      <w:r>
        <w:rPr>
          <w:b/>
          <w:color w:val="000000"/>
          <w:szCs w:val="28"/>
        </w:rPr>
        <w:t>. Стандарт предоставления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firstLine="720"/>
        <w:jc w:val="center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0" w:after="57"/>
        <w:ind w:firstLine="709"/>
        <w:jc w:val="both"/>
        <w:rPr/>
      </w:pPr>
      <w:r>
        <w:rPr>
          <w:b/>
          <w:color w:val="000000"/>
          <w:szCs w:val="28"/>
        </w:rPr>
        <w:t>2.1. Наименование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color w:val="000000"/>
          <w:szCs w:val="28"/>
        </w:rPr>
        <w:t>«Согласование нормативов потерь общераспространенных полезных ископаемых п</w:t>
      </w:r>
      <w:r>
        <w:rPr>
          <w:szCs w:val="28"/>
        </w:rPr>
        <w:t>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документации» (далее – согласование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документации).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113" w:after="0"/>
        <w:ind w:firstLine="709"/>
        <w:jc w:val="both"/>
        <w:rPr/>
      </w:pPr>
      <w:r>
        <w:rPr>
          <w:b/>
          <w:szCs w:val="28"/>
        </w:rPr>
        <w:t>2.2. Наименование органа, предоставляющего государственную услугу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Государственную услугу предоставляет комитет, являющийся уполномоченным органом </w:t>
      </w:r>
      <w:r>
        <w:rPr/>
        <w:t xml:space="preserve">исполнительной власти Курской области на согласование </w:t>
      </w:r>
      <w:r>
        <w:rPr>
          <w:szCs w:val="28"/>
        </w:rPr>
        <w:t>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</w:t>
      </w:r>
      <w:r>
        <w:rPr/>
        <w:t>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2.3. Описание результата предоставления государственной услуги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 выдача заявителю решения комитета о согласовании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документации, или решения об отказе в согласовании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2.4. Срок предоставления государственной услуги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составляет                       30 календарных дней со дня регистрации заявления заявителя. Срок направления заявителю решения комитета, указанного в </w:t>
      </w:r>
      <w:hyperlink w:anchor="Par106">
        <w:r>
          <w:rPr>
            <w:rStyle w:val="Style14"/>
            <w:rFonts w:ascii="Times New Roman" w:hAnsi="Times New Roman"/>
            <w:color w:val="000000"/>
            <w:sz w:val="28"/>
            <w:szCs w:val="28"/>
            <w:u w:val="none"/>
          </w:rPr>
          <w:t>пункте 2.3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пять рабочих дней со дня его подписания председателем комитета.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color w:val="000000"/>
          <w:szCs w:val="28"/>
        </w:rPr>
        <w:t>2.5. Нормативные правовые акты, регулирующие предоставление государственной услуги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color w:val="000000"/>
          <w:sz w:val="28"/>
          <w:szCs w:val="28"/>
          <w:lang w:eastAsia="zh-CN"/>
        </w:rPr>
        <w:t>П</w:t>
      </w:r>
      <w:r>
        <w:rPr>
          <w:color w:val="000000"/>
          <w:sz w:val="28"/>
          <w:szCs w:val="28"/>
        </w:rPr>
        <w:t>еречень нормативных правовых актов</w:t>
      </w:r>
      <w:r>
        <w:rPr>
          <w:rFonts w:eastAsia="SimSun"/>
          <w:color w:val="000000"/>
          <w:sz w:val="28"/>
          <w:szCs w:val="28"/>
          <w:lang w:eastAsia="zh-CN"/>
        </w:rPr>
        <w:t>, регулирующих предоставление государственной услуги (с указанием их реквизитов и источников официального опубликования) размещен на официальном сайте Комитета, на официальном сайте Администрации Курской области в сети «Интернет», а также в соответствующем разделе регионального реестра и на Едином портале.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color w:val="000000"/>
          <w:szCs w:val="28"/>
          <w:lang w:eastAsia="ru-RU"/>
        </w:rPr>
        <w:t xml:space="preserve">2.6.1. Для получения государственной услуги заявитель представляет в комитет заявление по форме согласно Приложению № 1 к настоящему Административному регламенту. 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color w:val="000000"/>
          <w:szCs w:val="28"/>
          <w:lang w:eastAsia="ru-RU"/>
        </w:rPr>
        <w:t>2.6.2. Исчерпывающий перечень документов, необходимых для предоставления государственной услуги.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ind w:firstLine="709"/>
        <w:jc w:val="both"/>
        <w:rPr/>
      </w:pPr>
      <w:r>
        <w:rPr>
          <w:color w:val="000000"/>
          <w:szCs w:val="28"/>
        </w:rPr>
        <w:t>1. Копии утвержденных</w:t>
      </w:r>
      <w:r>
        <w:rPr>
          <w:szCs w:val="28"/>
        </w:rPr>
        <w:t xml:space="preserve"> нормативов потерь общераспространенных полезных ископаемых за предыдущий период.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Копии документов, подтверждающих согласование проектной документации на разработку месторождения, с указанием утвержденных в составе проектной документации нормативов потерь общераспространенных полезных ископаемых.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 Пояснительная записка с обоснованием нормативов потерь общераспространенных полезных ископаемых.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 Сводная таблица потерь общераспространенных полезных ископаемых (план-факт) за текущий год и в планируемый период.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5. Графические материалы планов развития горных работ с выделением участков нормируемых потерь для общераспространенных полезных ископаемых</w:t>
      </w:r>
      <w:r>
        <w:rPr>
          <w:rFonts w:ascii="Times New Roman" w:hAnsi="Times New Roman"/>
          <w:color w:val="C00000"/>
          <w:sz w:val="28"/>
          <w:szCs w:val="28"/>
        </w:rPr>
        <w:t>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Копии документов, прилагаемых к заявлению, заверяются заявителем и скрепляются печатью (при наличии).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обоснования согласования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Заявление составляется в одном экземпляре, подписывается заявителем и заверяется печатью (при наличии) (заверение печатью не распространяется на заявителя – иностранного гражданина). В заявлении необходимо указать реквизиты лицензии на пользование недрами и наименование участка недр.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представленных сведений в соответствии с законодательством Российской Федерации.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При обращении за предоставлением государственной услуги от имени заявителя его уполномоченного представителя последний представляет подлинник документа, подтверждающего возложенные на него заявителем полномочия.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2.7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Для предоставления государственной услуги заявителю не требуются какие-либо документы, находящиеся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>
      <w:pPr>
        <w:pStyle w:val="ConsPlusNormal"/>
        <w:tabs>
          <w:tab w:val="clear" w:pos="720"/>
          <w:tab w:val="left" w:pos="8789" w:leader="none"/>
        </w:tabs>
        <w:spacing w:before="57" w:after="57"/>
        <w:ind w:firstLine="709"/>
        <w:rPr/>
      </w:pPr>
      <w:r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</w:t>
      </w:r>
    </w:p>
    <w:p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Комитет не вправе требовать от заявителя:</w:t>
      </w:r>
    </w:p>
    <w:p>
      <w:pPr>
        <w:pStyle w:val="Normal"/>
        <w:shd w:val="clear" w:color="auto" w:fill="FFFFFF"/>
        <w:spacing w:lineRule="atLeast" w:line="315"/>
        <w:ind w:firstLine="709"/>
        <w:jc w:val="both"/>
        <w:rPr>
          <w:szCs w:val="28"/>
        </w:rPr>
      </w:pP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shd w:val="clear" w:color="auto" w:fill="FFFFFF"/>
        <w:spacing w:lineRule="atLeast" w:line="315"/>
        <w:ind w:firstLine="709"/>
        <w:jc w:val="both"/>
        <w:rPr/>
      </w:pPr>
      <w:bookmarkStart w:id="3" w:name="dst37"/>
      <w:bookmarkStart w:id="4" w:name="dst159"/>
      <w:bookmarkEnd w:id="3"/>
      <w:bookmarkEnd w:id="4"/>
      <w:r>
        <w:rPr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комитета, либо подведомственных комитету организаций, участвующих в предоставлении предусмотренных </w:t>
      </w:r>
      <w:r>
        <w:fldChar w:fldCharType="begin"/>
      </w:r>
      <w:r>
        <w:rPr>
          <w:rStyle w:val="Style"/>
          <w:szCs w:val="28"/>
        </w:rPr>
        <w:instrText> HYPERLINK "http://www.consultant.ru/document/cons_doc_LAW_355880/d44bdb356e6a691d0c72fef05ed16f68af0af9eb/" \l "dst100010"</w:instrText>
      </w:r>
      <w:r>
        <w:rPr>
          <w:rStyle w:val="Style"/>
          <w:szCs w:val="28"/>
        </w:rPr>
        <w:fldChar w:fldCharType="separate"/>
      </w:r>
      <w:r>
        <w:rPr>
          <w:rStyle w:val="Style"/>
          <w:szCs w:val="28"/>
        </w:rPr>
        <w:t>частью 1 статьи 1</w:t>
      </w:r>
      <w:r>
        <w:rPr>
          <w:rStyle w:val="Style"/>
          <w:szCs w:val="28"/>
        </w:rPr>
        <w:fldChar w:fldCharType="end"/>
      </w:r>
      <w:r>
        <w:rPr>
          <w:szCs w:val="28"/>
        </w:rPr>
        <w:t> Федерального закона от 27.07.2010 № 210-ФЗ «Об организации предоставления государственных и муниципальных услуг» (далее – Федерального закона № 210-ФЗ), в соответствии с нормативными правовыми актами Российской Федерации, нормативными правовыми актами субъектов Российской Федерации, за исключением документов, включенных в определенный </w:t>
      </w:r>
      <w:r>
        <w:fldChar w:fldCharType="begin"/>
      </w:r>
      <w:r>
        <w:rPr>
          <w:rStyle w:val="Style"/>
          <w:szCs w:val="28"/>
        </w:rPr>
        <w:instrText> HYPERLINK "http://www.consultant.ru/document/cons_doc_LAW_355880/a593eaab768d34bf2d7419322eac79481e73cf03/" \l "dst43"</w:instrText>
      </w:r>
      <w:r>
        <w:rPr>
          <w:rStyle w:val="Style"/>
          <w:szCs w:val="28"/>
        </w:rPr>
        <w:fldChar w:fldCharType="separate"/>
      </w:r>
      <w:r>
        <w:rPr>
          <w:rStyle w:val="Style"/>
          <w:szCs w:val="28"/>
        </w:rPr>
        <w:t>частью 6</w:t>
      </w:r>
      <w:r>
        <w:rPr>
          <w:rStyle w:val="Style"/>
          <w:szCs w:val="28"/>
        </w:rPr>
        <w:fldChar w:fldCharType="end"/>
      </w:r>
      <w:r>
        <w:rPr>
          <w:szCs w:val="28"/>
        </w:rPr>
        <w:t>  статьи 7 Федерального закона № 210-ФЗ перечень документов. Заявитель вправе представить указанные документы и информацию в комитет, по собственной инициативе;</w:t>
      </w:r>
    </w:p>
    <w:p>
      <w:pPr>
        <w:pStyle w:val="Normal"/>
        <w:shd w:val="clear" w:color="auto" w:fill="FFFFFF"/>
        <w:spacing w:lineRule="atLeast" w:line="315"/>
        <w:ind w:firstLine="540"/>
        <w:jc w:val="both"/>
        <w:rPr/>
      </w:pPr>
      <w:bookmarkStart w:id="5" w:name="dst290"/>
      <w:bookmarkStart w:id="6" w:name="dst38"/>
      <w:bookmarkEnd w:id="5"/>
      <w:bookmarkEnd w:id="6"/>
      <w:r>
        <w:rPr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shd w:val="clear" w:color="auto" w:fill="FFFFFF"/>
        <w:spacing w:lineRule="atLeast" w:line="315"/>
        <w:ind w:firstLine="540"/>
        <w:jc w:val="both"/>
        <w:rPr/>
      </w:pPr>
      <w:r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 услуги, либо в предоставлении государственной услуги, за исключением следующих случаев:</w:t>
      </w:r>
    </w:p>
    <w:p>
      <w:pPr>
        <w:pStyle w:val="Normal"/>
        <w:shd w:val="clear" w:color="auto" w:fill="FFFFFF"/>
        <w:spacing w:lineRule="atLeast" w:line="315"/>
        <w:ind w:firstLine="540"/>
        <w:jc w:val="both"/>
        <w:rPr>
          <w:szCs w:val="28"/>
        </w:rPr>
      </w:pPr>
      <w:bookmarkStart w:id="7" w:name="dst291"/>
      <w:bookmarkEnd w:id="7"/>
      <w:r>
        <w:rPr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shd w:val="clear" w:color="auto" w:fill="FFFFFF"/>
        <w:spacing w:lineRule="atLeast" w:line="315"/>
        <w:ind w:firstLine="540"/>
        <w:jc w:val="both"/>
        <w:rPr>
          <w:szCs w:val="28"/>
        </w:rPr>
      </w:pPr>
      <w:bookmarkStart w:id="8" w:name="dst292"/>
      <w:bookmarkEnd w:id="8"/>
      <w:r>
        <w:rPr>
          <w:szCs w:val="28"/>
        </w:rPr>
        <w:t>наличие ошибок в заявлении о предоставлении государственной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shd w:val="clear" w:color="auto" w:fill="FFFFFF"/>
        <w:spacing w:lineRule="atLeast" w:line="315"/>
        <w:ind w:firstLine="540"/>
        <w:jc w:val="both"/>
        <w:rPr>
          <w:szCs w:val="28"/>
        </w:rPr>
      </w:pPr>
      <w:bookmarkStart w:id="9" w:name="dst293"/>
      <w:bookmarkEnd w:id="9"/>
      <w:r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shd w:val="clear" w:color="auto" w:fill="FFFFFF"/>
        <w:spacing w:lineRule="atLeast" w:line="315"/>
        <w:ind w:firstLine="540"/>
        <w:jc w:val="both"/>
        <w:rPr/>
      </w:pPr>
      <w:bookmarkStart w:id="10" w:name="dst294"/>
      <w:bookmarkEnd w:id="10"/>
      <w:r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государственную услугу, или работника многофункционального центра, работника организации, предусмотренной </w:t>
      </w:r>
      <w:r>
        <w:fldChar w:fldCharType="begin"/>
      </w:r>
      <w:r>
        <w:rPr>
          <w:rStyle w:val="Style"/>
          <w:szCs w:val="28"/>
        </w:rPr>
        <w:instrText> HYPERLINK "http://www.consultant.ru/document/cons_doc_LAW_355880/a2588b2a1374c05e0939bb4df8e54fc0dfd6e000/" \l "dst100352"</w:instrText>
      </w:r>
      <w:r>
        <w:rPr>
          <w:rStyle w:val="Style"/>
          <w:szCs w:val="28"/>
        </w:rPr>
        <w:fldChar w:fldCharType="separate"/>
      </w:r>
      <w:r>
        <w:rPr>
          <w:rStyle w:val="Style"/>
          <w:szCs w:val="28"/>
        </w:rPr>
        <w:t>частью 1.1 статьи 16</w:t>
      </w:r>
      <w:r>
        <w:rPr>
          <w:rStyle w:val="Style"/>
          <w:szCs w:val="28"/>
        </w:rPr>
        <w:fldChar w:fldCharType="end"/>
      </w:r>
      <w:r>
        <w:rPr>
          <w:szCs w:val="28"/>
        </w:rPr>
        <w:t> 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комитета,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 </w:t>
      </w:r>
      <w:r>
        <w:fldChar w:fldCharType="begin"/>
      </w:r>
      <w:r>
        <w:rPr>
          <w:rStyle w:val="Style"/>
          <w:szCs w:val="28"/>
        </w:rPr>
        <w:instrText> HYPERLINK "http://www.consultant.ru/document/cons_doc_LAW_355880/a2588b2a1374c05e0939bb4df8e54fc0dfd6e000/" \l "dst100352"</w:instrText>
      </w:r>
      <w:r>
        <w:rPr>
          <w:rStyle w:val="Style"/>
          <w:szCs w:val="28"/>
        </w:rPr>
        <w:fldChar w:fldCharType="separate"/>
      </w:r>
      <w:r>
        <w:rPr>
          <w:rStyle w:val="Style"/>
          <w:szCs w:val="28"/>
        </w:rPr>
        <w:t>частью 1.1 статьи 16</w:t>
      </w:r>
      <w:r>
        <w:rPr>
          <w:rStyle w:val="Style"/>
          <w:szCs w:val="28"/>
        </w:rPr>
        <w:fldChar w:fldCharType="end"/>
      </w:r>
      <w:r>
        <w:rPr>
          <w:szCs w:val="28"/>
        </w:rPr>
        <w:t> Федерального закона № 210-ФЗ, уведомляется заявитель, а также приносятся извинения за доставленные неудобства;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57" w:after="0"/>
        <w:ind w:firstLine="709"/>
        <w:jc w:val="both"/>
        <w:rPr/>
      </w:pPr>
      <w:bookmarkStart w:id="11" w:name="dst317"/>
      <w:bookmarkEnd w:id="11"/>
      <w:r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r>
        <w:fldChar w:fldCharType="begin"/>
      </w:r>
      <w:r>
        <w:rPr>
          <w:rStyle w:val="Style"/>
          <w:szCs w:val="28"/>
        </w:rPr>
        <w:instrText> HYPERLINK "http://www.consultant.ru/document/cons_doc_LAW_355880/a2588b2a1374c05e0939bb4df8e54fc0dfd6e000/" \l "dst359"</w:instrText>
      </w:r>
      <w:r>
        <w:rPr>
          <w:rStyle w:val="Style"/>
          <w:szCs w:val="28"/>
        </w:rPr>
        <w:fldChar w:fldCharType="separate"/>
      </w:r>
      <w:r>
        <w:rPr>
          <w:rStyle w:val="Style"/>
          <w:szCs w:val="28"/>
        </w:rPr>
        <w:t>пунктом 7.2 части 1 статьи 16</w:t>
      </w:r>
      <w:r>
        <w:rPr>
          <w:rStyle w:val="Style"/>
          <w:szCs w:val="28"/>
        </w:rPr>
        <w:fldChar w:fldCharType="end"/>
      </w:r>
      <w:r>
        <w:rPr>
          <w:szCs w:val="28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57" w:after="0"/>
        <w:ind w:firstLine="709"/>
        <w:jc w:val="both"/>
        <w:rPr/>
      </w:pPr>
      <w:r>
        <w:rPr>
          <w:b/>
          <w:color w:val="000000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color w:val="000000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57" w:after="0"/>
        <w:ind w:firstLine="709"/>
        <w:jc w:val="both"/>
        <w:rPr/>
      </w:pPr>
      <w:r>
        <w:rPr>
          <w:b/>
          <w:color w:val="000000"/>
          <w:szCs w:val="28"/>
        </w:rPr>
        <w:t>2.10. Исчерпывающий перечень оснований отказа в предоставлении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color w:val="000000"/>
          <w:szCs w:val="28"/>
        </w:rPr>
        <w:t>Основаниями для принятия решения об отказе в согласовании нормативов потерь общераспространенных полезных ископаемых являются: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color w:val="000000"/>
          <w:szCs w:val="28"/>
        </w:rPr>
        <w:t xml:space="preserve">представление документов, предусмотренных </w:t>
      </w:r>
      <w:hyperlink r:id="rId2">
        <w:r>
          <w:rPr>
            <w:rStyle w:val="Style14"/>
            <w:color w:val="000000"/>
            <w:szCs w:val="28"/>
            <w:u w:val="none"/>
          </w:rPr>
          <w:t>пунктом</w:t>
        </w:r>
      </w:hyperlink>
      <w:r>
        <w:rPr>
          <w:color w:val="000000"/>
        </w:rPr>
        <w:t xml:space="preserve"> 2.6</w:t>
      </w:r>
      <w:r>
        <w:rPr>
          <w:color w:val="000000"/>
          <w:szCs w:val="28"/>
        </w:rPr>
        <w:t xml:space="preserve"> настоящего Административного регламента, не в полном объеме, а также недостоверность представленной информации либо отсутствие лицензии на право пользования недрами у заявителя;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color w:val="000000"/>
          <w:szCs w:val="28"/>
        </w:rPr>
        <w:t>неверно произведенные расчеты нормативов потерь общераспространенных полезных ископаемых.</w:t>
      </w:r>
    </w:p>
    <w:p>
      <w:pPr>
        <w:pStyle w:val="ConsPlusNormal"/>
        <w:tabs>
          <w:tab w:val="clear" w:pos="720"/>
          <w:tab w:val="left" w:pos="8789" w:leader="none"/>
        </w:tabs>
        <w:spacing w:before="57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Перечень услуг, которые являются необходимыми и обязательны</w:t>
      </w:r>
      <w:r>
        <w:rPr>
          <w:rFonts w:ascii="Times New Roman" w:hAnsi="Times New Roman"/>
          <w:sz w:val="28"/>
          <w:szCs w:val="28"/>
        </w:rPr>
        <w:t>ми для предоставления государственной услуги, законодательством Курской области не предусмотрен.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57" w:after="0"/>
        <w:ind w:firstLine="709"/>
        <w:jc w:val="both"/>
        <w:rPr/>
      </w:pPr>
      <w:r>
        <w:rPr>
          <w:b/>
          <w:szCs w:val="28"/>
        </w:rP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Государственная услуга предоставляется бесплатно.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color w:val="202020"/>
          <w:spacing w:val="1"/>
          <w:szCs w:val="28"/>
        </w:rPr>
        <w:t xml:space="preserve">В случае внесения изменений в выданный по результатам предоставления </w:t>
      </w:r>
      <w:r>
        <w:rPr>
          <w:color w:val="202020"/>
          <w:szCs w:val="28"/>
        </w:rPr>
        <w:t xml:space="preserve">государственной услуги документ, направленный на исправление ошибок, допущенных </w:t>
      </w:r>
      <w:r>
        <w:rPr>
          <w:color w:val="202020"/>
          <w:spacing w:val="3"/>
          <w:szCs w:val="28"/>
        </w:rPr>
        <w:t xml:space="preserve">по вине комитета и (или) должностного лица комитета, </w:t>
      </w:r>
      <w:r>
        <w:rPr>
          <w:color w:val="202020"/>
          <w:spacing w:val="1"/>
          <w:szCs w:val="28"/>
        </w:rPr>
        <w:t>плата с заявителя не взимается.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Оплата необходимых и обязательных услуг для предоставления государственной услуги не предусматривается.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0" w:after="57"/>
        <w:ind w:firstLine="709"/>
        <w:jc w:val="both"/>
        <w:rPr/>
      </w:pPr>
      <w:r>
        <w:rPr>
          <w:b/>
          <w:szCs w:val="28"/>
        </w:rPr>
        <w:t>2.14.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spacing w:before="57" w:after="0"/>
        <w:ind w:firstLine="709"/>
        <w:jc w:val="both"/>
        <w:rPr/>
      </w:pPr>
      <w:r>
        <w:rPr>
          <w:b/>
          <w:szCs w:val="28"/>
        </w:rPr>
        <w:t>2.15. Срок и порядок регистрации запроса заявителя о предоставлении государственной услуги, в том числе в электронной форме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2.15.1. В случае представления заявления и документов, необходимых для предоставления государственной услуги, заявителем лично, запрос регистрируется специалистом комитета, ответственным за делопроизводство, в Журнале регистрации документов организаций с указанием на заявлении номера и даты поступления. Срок регистрации заявления заявителя о предоставлении государственной услуги составляет 15 минут.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sz w:val="28"/>
          <w:szCs w:val="28"/>
        </w:rPr>
        <w:t xml:space="preserve">2.15.2. </w:t>
      </w:r>
      <w:r>
        <w:rPr>
          <w:color w:val="000000"/>
          <w:sz w:val="28"/>
          <w:szCs w:val="28"/>
          <w:lang w:eastAsia="ru-RU"/>
        </w:rPr>
        <w:t>В случае направления заявления и документов, необходимых для предоставления государственной услуги, по почте, заявление регистрируется специалистом комитета датой, соответствующей дате поступления заявления и документов по штемпелю на конверте.</w:t>
      </w:r>
    </w:p>
    <w:p>
      <w:pPr>
        <w:pStyle w:val="ConsPlusNormal"/>
        <w:spacing w:before="0" w:after="57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2.16.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Здание, в котором расположен комитет, оборудовано входом, обеспечивающим свободный доступ заявителей. Помещения для работы с заявителями размещены на нижнем этаже здания.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Центральный вход в здание оборудован информационной табличкой (вывеской),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ind w:firstLine="709"/>
        <w:jc w:val="both"/>
        <w:rPr/>
      </w:pPr>
      <w:r>
        <w:rPr>
          <w:color w:val="000000"/>
          <w:szCs w:val="28"/>
        </w:rPr>
        <w:t>Здание комитета оборудуется соответствующими информационными стендами, вывесками, указателями.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 в помещении комитета для ожидания и приема заявителей, а также в федеральной государственной информационной системе «Единый портал государственных и муниципальных услуг (функций), региональной государственной информационной системе «Портал государственных и муниципальных услуг (функций) Курской области» и сайте комитета.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заявителями.</w:t>
      </w:r>
    </w:p>
    <w:p>
      <w:pPr>
        <w:pStyle w:val="Normal"/>
        <w:widowControl w:val="false"/>
        <w:tabs>
          <w:tab w:val="clear" w:pos="720"/>
          <w:tab w:val="left" w:pos="0" w:leader="none"/>
        </w:tabs>
        <w:ind w:firstLine="709"/>
        <w:jc w:val="both"/>
        <w:rPr/>
      </w:pPr>
      <w:r>
        <w:rPr>
          <w:color w:val="000000"/>
          <w:szCs w:val="28"/>
        </w:rPr>
        <w:t>Места ожидания в очереди на получение документов в здании комитета оборудованы стульями, столами, необходимыми информационными документами на стендах.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Заявителям гарантируется прием в помещении, оборудованном в соответствии с санитарно-эпидемиологическими правилами и нормативами СанПиН 2.2.2/2.4.1340-03.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Помещение оборудовано противопожарной системой и системой пожаротушения.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Предусмотрена возможность свободного входа и выхода специалистов и заявителей из помещения при необходимости.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На территории, прилегающей к месторасположению комитета оборудованы места для парковки автотранспортных средств, в том числе специально отведенные места для стоянки автотранспорта инвалидов. Доступ заявителей к парковочным местам является бесплатным.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Обслуживание лиц с ограниченными возможностями здоровья осуществляется в специально выделенном для этих целей помещении, расположенном на нижнем этаже здания комитета.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Помещения, предназначенные для ожидания в очереди приема документов, обслуживания лиц с ограниченными возможностями здоровья, предоставления консультаций, должны соответствовать требованиям комфортности условий пребывания в них заявителей.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Специалисты комитета: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обеспечивают сопровождение инвалидов, имеющих стойкие расстройства функции зрения и самостоятельного передвижения по территории комитета;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оказывают лицам с ограниченными возможностями здоровья необходимую помощь, связанную с разъяснением в доступной для них форме порядка предоставления и получения услуги, оформление необходимых для ее предоставления документов, ознакомлением их с размещением кабинетов комитета.</w:t>
      </w:r>
    </w:p>
    <w:p>
      <w:pPr>
        <w:pStyle w:val="Style25"/>
        <w:widowControl w:val="false"/>
        <w:spacing w:before="0" w:after="0"/>
        <w:ind w:firstLine="709"/>
        <w:jc w:val="both"/>
        <w:rPr/>
      </w:pPr>
      <w:r>
        <w:rPr>
          <w:color w:val="000000"/>
          <w:szCs w:val="28"/>
        </w:rPr>
        <w:t>В случае наличия сопровождающего лица (сурдопереводчика, тифлосурдопереводчика, иного лица, владеющего жестовым языком) комитет обязан обеспечить данному лицу беспрепятственный вход в здание вместе с заявителем-инвалидом. Также обеспечивается допуск в комитет собаки-проводника при наличии документа, подтверждающего ее специальное обучение, выданного по форме, установленной Министерством труда и социальной защиты Российской Федерации.</w:t>
      </w:r>
    </w:p>
    <w:p>
      <w:pPr>
        <w:pStyle w:val="Normal"/>
        <w:widowControl w:val="false"/>
        <w:spacing w:before="57" w:after="57"/>
        <w:ind w:firstLine="709"/>
        <w:jc w:val="both"/>
        <w:rPr/>
      </w:pPr>
      <w:r>
        <w:rPr>
          <w:b/>
          <w:szCs w:val="28"/>
        </w:rPr>
        <w:t xml:space="preserve">2.17. </w:t>
      </w:r>
      <w:r>
        <w:rPr>
          <w:b/>
          <w:bCs/>
          <w:color w:val="000000"/>
          <w:szCs w:val="28"/>
          <w:lang w:eastAsia="ru-RU"/>
        </w:rPr>
        <w:t>Показатели доступности и качества государственной услуги</w:t>
      </w:r>
      <w:r>
        <w:rPr>
          <w:b/>
          <w:color w:val="000000"/>
          <w:szCs w:val="28"/>
          <w:lang w:eastAsia="ru-RU"/>
        </w:rPr>
        <w:t>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Показателями доступности государственной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 и т. д.);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Показатели качества государственной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полнота и актуальность информации о порядке предоставления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отсутствие очередей при приеме и выдаче документов заявителем;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возможность досудебного (внесудебного) обжалования решений и действий (бездействия) органов (организации), должностного лица органа (организации) либо государственного служащего.</w:t>
      </w:r>
    </w:p>
    <w:p>
      <w:pPr>
        <w:pStyle w:val="Normal"/>
        <w:widowControl w:val="false"/>
        <w:spacing w:before="0" w:after="57"/>
        <w:ind w:firstLine="709"/>
        <w:jc w:val="both"/>
        <w:rPr/>
      </w:pPr>
      <w:r>
        <w:rPr>
          <w:b/>
          <w:color w:val="000000"/>
          <w:szCs w:val="28"/>
        </w:rPr>
        <w:t>2.18.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Иные требования и особенности предоставления государственной услуги в электронной форме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</w:rPr>
        <w:t>Государственная услуга в настоящее время в электронной форме не предоставляется.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Состав, последовательность и сроки выполнения административных процедур (действий), требования к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b/>
          <w:szCs w:val="28"/>
        </w:rPr>
        <w:t xml:space="preserve">порядку их выполнения, в том числе особенности выполнения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b/>
          <w:szCs w:val="28"/>
        </w:rPr>
        <w:t>административных процедур (действий) в электронной форме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right="1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b/>
          <w:sz w:val="28"/>
          <w:szCs w:val="28"/>
        </w:rPr>
        <w:t>Исчерпывающий перечень административных процедур: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sz w:val="28"/>
          <w:szCs w:val="28"/>
        </w:rPr>
        <w:t>1) прием и регистрация заявления;</w:t>
      </w:r>
    </w:p>
    <w:p>
      <w:pPr>
        <w:pStyle w:val="NormalWeb"/>
        <w:widowControl w:val="false"/>
        <w:tabs>
          <w:tab w:val="clear" w:pos="720"/>
          <w:tab w:val="left" w:pos="8789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2) проверка </w:t>
      </w:r>
      <w:r>
        <w:rPr>
          <w:bCs/>
          <w:sz w:val="28"/>
          <w:szCs w:val="28"/>
        </w:rPr>
        <w:t>документов</w:t>
      </w:r>
      <w:r>
        <w:rPr>
          <w:sz w:val="28"/>
          <w:szCs w:val="28"/>
        </w:rPr>
        <w:t xml:space="preserve"> на комплектность;</w:t>
      </w:r>
    </w:p>
    <w:p>
      <w:pPr>
        <w:pStyle w:val="NormalWeb"/>
        <w:widowControl w:val="false"/>
        <w:tabs>
          <w:tab w:val="clear" w:pos="720"/>
          <w:tab w:val="left" w:pos="8789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3) рассмотрение заявления и </w:t>
      </w:r>
      <w:r>
        <w:rPr>
          <w:sz w:val="28"/>
        </w:rPr>
        <w:t>принятие решения</w:t>
      </w:r>
      <w:r>
        <w:rPr/>
        <w:t>;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sz w:val="28"/>
          <w:szCs w:val="28"/>
        </w:rPr>
        <w:t>4) выдача документов;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  <w:lang w:eastAsia="ru-RU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3.1. Прием и регистрация заявления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sz w:val="28"/>
          <w:szCs w:val="28"/>
        </w:rPr>
        <w:t>3.1.1. Основанием для начала данной административной процедуры является подача заявителем заявления о предоставлении ему государственной услуги, согласно Приложению № 1.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3.1.2. Специалист комитета, ответственный за делопроизводство, при получении заявления, регистрирует заявление в Журнале регистрации документов организаций. 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sz w:val="28"/>
          <w:szCs w:val="28"/>
        </w:rPr>
        <w:t>3.1.3. Максимально допустимый срок осуществления приема заявления о предоставлении государственной услуги, составляет 15 минут с момента обращения заявителя.</w:t>
      </w:r>
    </w:p>
    <w:p>
      <w:pPr>
        <w:pStyle w:val="25"/>
        <w:widowControl w:val="false"/>
        <w:tabs>
          <w:tab w:val="clear" w:pos="720"/>
          <w:tab w:val="left" w:pos="8789" w:leader="none"/>
        </w:tabs>
        <w:spacing w:before="0" w:after="0"/>
        <w:ind w:firstLine="709"/>
        <w:rPr/>
      </w:pPr>
      <w:r>
        <w:rPr>
          <w:sz w:val="28"/>
          <w:szCs w:val="28"/>
        </w:rPr>
        <w:t>Поступившие по почте документы регистрируются специалистом комитета, ответственным за делопроизводство, в день поступления.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комитета, ответственный за делопроизводство, передает заявление председателю комитета для визы (поручения) в день его поступления, и заявление с визой председателя комитета передает в </w:t>
      </w:r>
      <w:bookmarkStart w:id="12" w:name="__DdeLink__1835_1360208395"/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рационального недропользования и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 экологической  экспертизы</w:t>
      </w:r>
      <w:bookmarkEnd w:id="1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>в течение одного рабочего дня со дня его рассмотрения председателем комитета.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3.1.5. Результат административной процедуры: зарегистрированное в комитете заявление, переданное в отдел </w:t>
      </w:r>
      <w:r>
        <w:rPr>
          <w:rFonts w:ascii="Times New Roman" w:hAnsi="Times New Roman"/>
          <w:sz w:val="28"/>
          <w:szCs w:val="28"/>
        </w:rPr>
        <w:t xml:space="preserve">рационального недропользования и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 экологической  экспертизы комитета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>
          <w:spacing w:val="-4"/>
        </w:rPr>
      </w:pPr>
      <w:r>
        <w:rPr>
          <w:rFonts w:ascii="Times New Roman" w:hAnsi="Times New Roman"/>
          <w:spacing w:val="-4"/>
          <w:sz w:val="28"/>
          <w:szCs w:val="28"/>
        </w:rPr>
        <w:t>3.1.6. Максимальный срок исполнения административной процедуры – 2 рабочих дня с даты подачи заявления о предоставлении государственной услуги.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3.1.7. Способ фиксации результата исполнения административной процедуры</w:t>
      </w:r>
      <w:r>
        <w:rPr/>
        <w:t xml:space="preserve"> </w:t>
      </w:r>
      <w:r>
        <w:rPr>
          <w:rStyle w:val="FontStyle44"/>
          <w:sz w:val="28"/>
          <w:szCs w:val="28"/>
        </w:rPr>
        <w:t>является проставление на</w:t>
      </w:r>
      <w:r>
        <w:rPr>
          <w:rFonts w:ascii="Times New Roman" w:hAnsi="Times New Roman"/>
          <w:sz w:val="28"/>
          <w:szCs w:val="28"/>
        </w:rPr>
        <w:t xml:space="preserve"> первом листе поступившего документа в правом нижнем углу регистрационного штампа, который содержит номер документа, дату поступления (при необходимости часы и минуты) и регистрации на электронном носителе.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>3.1.8 Критерий принятия решения – является обращение заявителя за получением государственной услуги.</w:t>
      </w:r>
    </w:p>
    <w:p>
      <w:pPr>
        <w:pStyle w:val="NormalWeb"/>
        <w:widowControl w:val="false"/>
        <w:tabs>
          <w:tab w:val="clear" w:pos="720"/>
          <w:tab w:val="left" w:pos="8789" w:leader="none"/>
        </w:tabs>
        <w:spacing w:before="0" w:after="0"/>
        <w:ind w:firstLine="709"/>
        <w:jc w:val="both"/>
        <w:rPr/>
      </w:pPr>
      <w:r>
        <w:rPr>
          <w:b/>
          <w:sz w:val="28"/>
          <w:szCs w:val="28"/>
        </w:rPr>
        <w:t xml:space="preserve">3.2. Проверка </w:t>
      </w:r>
      <w:r>
        <w:rPr>
          <w:b/>
          <w:bCs/>
          <w:sz w:val="28"/>
          <w:szCs w:val="28"/>
        </w:rPr>
        <w:t>документов</w:t>
      </w:r>
      <w:r>
        <w:rPr>
          <w:b/>
          <w:sz w:val="28"/>
          <w:szCs w:val="28"/>
        </w:rPr>
        <w:t xml:space="preserve"> на комплектность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3.2.1. Основанием для начала административной процедуры является поступление заявления о предоставлении государственной услуги в </w:t>
      </w: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рационального недропользования и </w:t>
      </w:r>
      <w:r>
        <w:rPr>
          <w:sz w:val="28"/>
          <w:szCs w:val="28"/>
        </w:rPr>
        <w:t>государственно</w:t>
      </w:r>
      <w:r>
        <w:rPr>
          <w:sz w:val="28"/>
          <w:szCs w:val="28"/>
        </w:rPr>
        <w:t>й экологической  экспертизы</w:t>
      </w:r>
      <w:r>
        <w:rPr>
          <w:szCs w:val="28"/>
        </w:rPr>
        <w:t xml:space="preserve"> комитета.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3.2.2. Специалист </w:t>
      </w:r>
      <w:r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рационального недропользования и </w:t>
      </w:r>
      <w:r>
        <w:rPr>
          <w:sz w:val="28"/>
          <w:szCs w:val="28"/>
        </w:rPr>
        <w:t>государственно</w:t>
      </w:r>
      <w:r>
        <w:rPr>
          <w:sz w:val="28"/>
          <w:szCs w:val="28"/>
        </w:rPr>
        <w:t>й экологической  экспертизы</w:t>
      </w:r>
      <w:r>
        <w:rPr>
          <w:b/>
          <w:szCs w:val="28"/>
        </w:rPr>
        <w:t xml:space="preserve"> </w:t>
      </w:r>
      <w:r>
        <w:rPr>
          <w:szCs w:val="28"/>
        </w:rPr>
        <w:t>в день поступления заявления в отдел регистрирует представленные документы в «Журнале регистрации заявлений и материалов на 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документации» согласно Приложению № 2 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 течение пяти рабочих дней со дня регистрации документов в комитете проверяет их на комплектность.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3.2.3. При наличии полного комплекта документов передает их на рассмотрение в части обоснованности расчетов нормативов потерь общераспространенных полезных ископаемых при добыче</w:t>
      </w:r>
      <w:r>
        <w:rPr>
          <w:b/>
          <w:szCs w:val="28"/>
        </w:rPr>
        <w:t xml:space="preserve">, </w:t>
      </w:r>
      <w:r>
        <w:rPr>
          <w:szCs w:val="28"/>
        </w:rPr>
        <w:t>превышающих по величине нормативы, утвержденные в составе проектной документации.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3.2.4. При несоответствии представленных материалов требованиям, установленным в пункте 2.6.2 настоящего Административного регламента, в течение пяти рабочих дней со дня регистрации документов в комитете, заявителю направляется письмо о предоставлении соответствующих документов либо для устранения недостатков.</w:t>
      </w:r>
    </w:p>
    <w:p>
      <w:pPr>
        <w:pStyle w:val="Style71"/>
        <w:tabs>
          <w:tab w:val="clear" w:pos="720"/>
          <w:tab w:val="left" w:pos="1411" w:leader="none"/>
          <w:tab w:val="left" w:pos="8789" w:leader="none"/>
        </w:tabs>
        <w:spacing w:lineRule="auto" w:line="240"/>
        <w:ind w:firstLine="709"/>
        <w:rPr/>
      </w:pPr>
      <w:r>
        <w:rPr>
          <w:sz w:val="28"/>
          <w:szCs w:val="28"/>
        </w:rPr>
        <w:t xml:space="preserve">3.2.5. Должностным лицом, </w:t>
      </w:r>
      <w:r>
        <w:rPr>
          <w:rStyle w:val="FontStyle44"/>
          <w:sz w:val="28"/>
          <w:szCs w:val="28"/>
        </w:rPr>
        <w:t xml:space="preserve">ответственным за исполнение процедуры является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рационального недропользования и </w:t>
      </w:r>
      <w:r>
        <w:rPr>
          <w:sz w:val="28"/>
          <w:szCs w:val="28"/>
        </w:rPr>
        <w:t>государственно</w:t>
      </w:r>
      <w:r>
        <w:rPr>
          <w:sz w:val="28"/>
          <w:szCs w:val="28"/>
        </w:rPr>
        <w:t>й экологической  экспертизы</w:t>
      </w:r>
      <w:r>
        <w:rPr>
          <w:sz w:val="28"/>
          <w:szCs w:val="28"/>
        </w:rPr>
        <w:t>, которому дано соответствующее поручение</w:t>
      </w:r>
      <w:r>
        <w:rPr>
          <w:rStyle w:val="FontStyle44"/>
          <w:sz w:val="28"/>
          <w:szCs w:val="28"/>
        </w:rPr>
        <w:t>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3.2.6. Результат административной процедуры передача полного комплекта документов на рассмотрение в части обоснованности расчетов нормативов потерь общераспространенных полезных ископаемых при добыче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превышающих по величине нормативы, утвержденные в составе проектной документации либо направленный заявителю мотивированный отказ в согласовании нормативов потерь общераспространенных полезных ископаемых.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3.2.7. Максимальный срок исполнения административной процедуры – 5 рабочих дней со дня регистрации документов в комитете.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szCs w:val="28"/>
        </w:rPr>
        <w:t>3.2.8. Критерием принятия решения является наличие (отсутствие) оснований для отказа в предоставлении государственной услуги</w:t>
      </w:r>
      <w:r>
        <w:rPr>
          <w:szCs w:val="28"/>
          <w:lang w:eastAsia="ru-RU"/>
        </w:rPr>
        <w:t>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3.2.9. Способ фиксации результата исполнения административной процедуры </w:t>
      </w:r>
      <w:r>
        <w:rPr>
          <w:rStyle w:val="FontStyle44"/>
          <w:sz w:val="28"/>
          <w:szCs w:val="28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szCs w:val="28"/>
        </w:rPr>
        <w:t>3.3. Рассмотрение заявления</w:t>
      </w:r>
      <w:r>
        <w:rPr>
          <w:szCs w:val="28"/>
        </w:rPr>
        <w:t xml:space="preserve"> </w:t>
      </w:r>
      <w:r>
        <w:rPr>
          <w:b/>
          <w:szCs w:val="28"/>
        </w:rPr>
        <w:t>и принятие решения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3.3.1. Основанием для начала административной процедуры является наличие комплекта документов, соответствующих требованиям пункта 2.6. настоящего Административного регламента.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Специалист </w:t>
      </w:r>
      <w:r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рационального недропользования и </w:t>
      </w:r>
      <w:r>
        <w:rPr>
          <w:sz w:val="28"/>
          <w:szCs w:val="28"/>
        </w:rPr>
        <w:t>государственно</w:t>
      </w:r>
      <w:r>
        <w:rPr>
          <w:sz w:val="28"/>
          <w:szCs w:val="28"/>
        </w:rPr>
        <w:t xml:space="preserve">й экологической  экспертизы </w:t>
      </w:r>
      <w:r>
        <w:rPr>
          <w:szCs w:val="28"/>
        </w:rPr>
        <w:t>обеспечивает проверку обоснованности расчетов нормативов потерь общераспространенных полезных ископаемых при добыче</w:t>
      </w:r>
      <w:r>
        <w:rPr>
          <w:b/>
          <w:szCs w:val="28"/>
        </w:rPr>
        <w:t xml:space="preserve">, </w:t>
      </w:r>
      <w:r>
        <w:rPr>
          <w:szCs w:val="28"/>
        </w:rPr>
        <w:t>превышающих по величине нормативы, утвержденные в составе проектной документации.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3.3.2. При выявлении  в документах и материалах заявителя недостоверной информации; неточностей, ошибок в расчетах нормативов потерь общераспространенных полезных ископаемых при добыче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превышающих по величине нормативы, утвержденные в составе проектной документации, либо отсутствии у заявителя лицензии на право пользования недрами специалист отдел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рационального недропользования и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 экологической  экспертизы</w:t>
      </w:r>
      <w:r>
        <w:rPr>
          <w:rFonts w:ascii="Times New Roman" w:hAnsi="Times New Roman"/>
          <w:sz w:val="28"/>
          <w:szCs w:val="28"/>
        </w:rPr>
        <w:t xml:space="preserve"> в течение восьми рабочих дней обеспечивает подготовку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уведомления об отказе в предоставлении государственной услуги, который в течение трех рабочих дней подписывается председателем комитета.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При наличии оснований для отказа в предоставлении государственной услуги, указанных в пункте 2.10 настоящего Административного регламента специалист отдел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рационального недропользования и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 экологической  экспертизы</w:t>
      </w:r>
      <w:r>
        <w:rPr>
          <w:rFonts w:ascii="Times New Roman" w:hAnsi="Times New Roman"/>
          <w:sz w:val="28"/>
          <w:szCs w:val="28"/>
        </w:rPr>
        <w:t xml:space="preserve"> в течение восьми рабочих дней обеспечивает подготовку приказа комитета об отказе в предоставлении государственной услуги, который в течение трех рабочих дней подписывается председателем комитета.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3.3.3. Если при проверке обоснованности расчетов нормативов потерь общераспространенных полезных ископаемых при добыче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превышающих по величине нормативы, утвержденные в составе проектной документации, не выявлены неточности, ошибки в расчетах, специалист отдел </w:t>
      </w:r>
      <w:r>
        <w:rPr>
          <w:rFonts w:ascii="Times New Roman" w:hAnsi="Times New Roman"/>
          <w:sz w:val="28"/>
          <w:szCs w:val="28"/>
        </w:rPr>
        <w:t xml:space="preserve">рационального недропользования и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 экологической  экспертизы</w:t>
      </w:r>
      <w:r>
        <w:rPr>
          <w:rFonts w:ascii="Times New Roman" w:hAnsi="Times New Roman"/>
          <w:sz w:val="28"/>
          <w:szCs w:val="28"/>
        </w:rPr>
        <w:t xml:space="preserve"> обеспечивает подготовку проекта приказа комитета о согласовании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 и его подписание председателем комитета в течение двух рабочих дней со дня завершения проверки.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 xml:space="preserve">3.3.4. Должностным лицом, </w:t>
      </w:r>
      <w:r>
        <w:rPr>
          <w:rStyle w:val="FontStyle44"/>
          <w:sz w:val="28"/>
          <w:szCs w:val="28"/>
        </w:rPr>
        <w:t xml:space="preserve">ответственным за исполнение процедуры, является </w:t>
      </w:r>
      <w:r>
        <w:rPr>
          <w:szCs w:val="28"/>
        </w:rPr>
        <w:t xml:space="preserve">специалист </w:t>
      </w: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рационального недропользования и </w:t>
      </w:r>
      <w:r>
        <w:rPr>
          <w:sz w:val="28"/>
          <w:szCs w:val="28"/>
        </w:rPr>
        <w:t>государственно</w:t>
      </w:r>
      <w:r>
        <w:rPr>
          <w:sz w:val="28"/>
          <w:szCs w:val="28"/>
        </w:rPr>
        <w:t>й экологической  экспертизы</w:t>
      </w:r>
      <w:r>
        <w:rPr>
          <w:szCs w:val="28"/>
        </w:rPr>
        <w:t>, которому дано соответствующее поручение</w:t>
      </w:r>
      <w:r>
        <w:rPr>
          <w:rStyle w:val="FontStyle44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/>
        <w:t xml:space="preserve">3.3.5. Результатом административной процедуры является </w:t>
      </w:r>
      <w:r>
        <w:rPr>
          <w:szCs w:val="28"/>
        </w:rPr>
        <w:t>Приказ комитета о согласовании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 либо об отказе в предоставлении государственной услуги.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/>
        <w:t>3.3.6. Максимальный срок исполнения административной процедуры 15 рабочих дней.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/>
        <w:t xml:space="preserve">3.3.7. </w:t>
      </w:r>
      <w:r>
        <w:rPr>
          <w:szCs w:val="28"/>
        </w:rPr>
        <w:t>Способ фиксации результата исполнения административной процедуры</w:t>
      </w:r>
      <w:r>
        <w:rPr/>
        <w:t xml:space="preserve"> </w:t>
      </w:r>
      <w:r>
        <w:rPr>
          <w:rStyle w:val="FontStyle44"/>
          <w:sz w:val="28"/>
          <w:szCs w:val="28"/>
        </w:rPr>
        <w:t>на бумажном носителе</w:t>
      </w:r>
      <w:r>
        <w:rPr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3.3.8. Критерием принятия решения является наличие (отсутствие) оснований для отказа в предоставлении государственной услуги</w:t>
      </w:r>
      <w:r>
        <w:rPr>
          <w:szCs w:val="28"/>
          <w:lang w:eastAsia="ru-RU"/>
        </w:rPr>
        <w:t>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</w:rPr>
        <w:t>3.4. Выдача документов заявителю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3.4.1. Основанием для начала данной административной процедуры является наличие приказа комитета о согласовании или о мотивированном отказе в согласовании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течение пяти рабочих дней с даты подписания председателем комитета одного из вышеуказанных приказов специалист отдел </w:t>
      </w:r>
      <w:r>
        <w:rPr>
          <w:rFonts w:ascii="Times New Roman" w:hAnsi="Times New Roman"/>
          <w:sz w:val="28"/>
          <w:szCs w:val="28"/>
        </w:rPr>
        <w:t xml:space="preserve">рационального недропользования и </w:t>
      </w:r>
      <w:r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 экологической  экспертизы</w:t>
      </w:r>
      <w:r>
        <w:rPr>
          <w:rFonts w:ascii="Times New Roman" w:hAnsi="Times New Roman"/>
          <w:sz w:val="28"/>
          <w:szCs w:val="28"/>
        </w:rPr>
        <w:t xml:space="preserve"> выдает заявителю решение комитета под расписку либо направляет заказным письмом с уведомлением о вручении.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</w:rPr>
        <w:t>В случае отказа в предоставлении государственной услуги при выявлении неточностей, ошибок в расчетах нормативов потерь общераспространенных полезных ископаемых при добыче</w:t>
      </w:r>
      <w:r>
        <w:rPr>
          <w:b/>
          <w:szCs w:val="28"/>
        </w:rPr>
        <w:t xml:space="preserve">, </w:t>
      </w:r>
      <w:r>
        <w:rPr>
          <w:szCs w:val="28"/>
        </w:rPr>
        <w:t>превышающих по величине нормативы, утвержденные в составе проектной документации, рассмотрение материалов после доработки осуществляется в соответствии с настоящим Административным регламентом.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/>
        <w:t xml:space="preserve">3.4.2. Результатом административной процедуры является </w:t>
      </w:r>
      <w:r>
        <w:rPr>
          <w:szCs w:val="28"/>
        </w:rPr>
        <w:t>выдача заявителю решения комитета под роспись, либо его направление по почте с уведомлением о вручении.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/>
        <w:t>3.4.3. Максимальный срок исполнения административной процедуры 5 рабочих дней.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/>
        <w:t xml:space="preserve">3.4.4. </w:t>
      </w:r>
      <w:r>
        <w:rPr>
          <w:szCs w:val="28"/>
        </w:rPr>
        <w:t>Способ фиксации результата исполнения административной процедуры</w:t>
      </w:r>
      <w:r>
        <w:rPr/>
        <w:t xml:space="preserve"> </w:t>
      </w:r>
      <w:r>
        <w:rPr>
          <w:rStyle w:val="FontStyle44"/>
          <w:sz w:val="28"/>
          <w:szCs w:val="28"/>
        </w:rPr>
        <w:t>на бумажном носителе</w:t>
      </w:r>
      <w:r>
        <w:rPr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3.4.5. Критерии принятия решения – получение должностным лицом комитета, ответственным за предоставление государственной услуги, приказа комитета о согласовании или о мотивированном отказе в согласовании нормативов потерь общераспространенных полезных ископаемых при добыче, превышающих по величине нормативы, утвержденные в составе проектной документации.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szCs w:val="28"/>
          <w:lang w:eastAsia="ru-RU"/>
        </w:rPr>
        <w:t>3.5.</w:t>
      </w:r>
      <w:r>
        <w:rPr>
          <w:szCs w:val="28"/>
          <w:lang w:eastAsia="ru-RU"/>
        </w:rPr>
        <w:t xml:space="preserve"> </w:t>
      </w:r>
      <w:r>
        <w:rPr>
          <w:b/>
          <w:color w:val="000000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Cs/>
          <w:color w:val="000000"/>
          <w:szCs w:val="28"/>
          <w:lang w:eastAsia="en-US"/>
        </w:rPr>
        <w:t>3.5.1.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государственной услуги, об исправлении допущенных опечаток и ошибок в выданных в результате предоставления государственной услуги документах в комитет.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Cs/>
          <w:color w:val="000000"/>
          <w:szCs w:val="28"/>
          <w:lang w:eastAsia="en-US"/>
        </w:rPr>
        <w:t>3.5.2.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Cs/>
          <w:color w:val="000000"/>
          <w:szCs w:val="28"/>
          <w:lang w:eastAsia="en-US"/>
        </w:rPr>
        <w:t>3.5.3.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Cs/>
          <w:color w:val="000000"/>
          <w:szCs w:val="28"/>
          <w:lang w:eastAsia="en-US"/>
        </w:rPr>
        <w:t>3.5</w:t>
      </w:r>
      <w:r>
        <w:rPr>
          <w:color w:val="000000"/>
          <w:szCs w:val="28"/>
        </w:rPr>
        <w:t>.4. Критерием принятия решения является наличие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Cs/>
          <w:color w:val="000000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комитета опечаток и (или)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>
      <w:pPr>
        <w:pStyle w:val="ConsPlusNormal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eastAsia="Calibri" w:ascii="Times New Roman" w:hAnsi="Times New Roman"/>
          <w:bCs/>
          <w:color w:val="000000"/>
          <w:sz w:val="28"/>
          <w:szCs w:val="28"/>
          <w:lang w:eastAsia="en-US"/>
        </w:rPr>
        <w:t xml:space="preserve">3.5.6. 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регистрация в </w:t>
      </w:r>
      <w:r>
        <w:rPr>
          <w:rFonts w:ascii="Times New Roman" w:hAnsi="Times New Roman"/>
          <w:sz w:val="28"/>
          <w:szCs w:val="28"/>
        </w:rPr>
        <w:t xml:space="preserve">журнале регистрации заявлений и материалов на 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bCs/>
          <w:color w:val="000000"/>
          <w:szCs w:val="28"/>
          <w:lang w:eastAsia="en-US"/>
        </w:rPr>
        <w:t>3.5.7.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firstLine="708"/>
        <w:jc w:val="both"/>
        <w:rPr/>
      </w:pPr>
      <w:r>
        <w:rPr>
          <w:b/>
          <w:szCs w:val="28"/>
        </w:rPr>
        <w:tab/>
      </w:r>
    </w:p>
    <w:p>
      <w:pPr>
        <w:pStyle w:val="Normal"/>
        <w:widowControl w:val="false"/>
        <w:ind w:firstLine="720"/>
        <w:jc w:val="center"/>
        <w:rPr/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Формы контроля за исполнением </w:t>
      </w:r>
    </w:p>
    <w:p>
      <w:pPr>
        <w:pStyle w:val="Normal"/>
        <w:widowControl w:val="false"/>
        <w:ind w:firstLine="720"/>
        <w:jc w:val="center"/>
        <w:rPr/>
      </w:pPr>
      <w:r>
        <w:rPr>
          <w:b/>
          <w:szCs w:val="28"/>
        </w:rPr>
        <w:t>Административного регламента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ConsPlusNonformat"/>
        <w:shd w:val="clear" w:color="auto" w:fill="FFFFFF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4.1.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ответственными должностными лицами осуществляется председателем комитета или заместителем председателя комитета, курирующим вопросы предоставления государственной услуги.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4.1.2. Периодичность осуществления текущего контроля устанавливается председателем комитета или заместителем председателя комитета, курирующим вопросы предоставления государственной услуги.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bCs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4.2.1. Контроль за полнотой и качеством предоставления комитетом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комитета.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4.2.2. Порядок и периодичность проведения плановых проверок выполнения комитетом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осуществляются в соответствии с планом работы комитета на текущий год.</w:t>
      </w:r>
    </w:p>
    <w:p>
      <w:pPr>
        <w:pStyle w:val="Normal"/>
        <w:widowControl w:val="false"/>
        <w:ind w:firstLine="709"/>
        <w:jc w:val="both"/>
        <w:rPr>
          <w:sz w:val="20"/>
        </w:rPr>
      </w:pPr>
      <w:bookmarkStart w:id="13" w:name="_Hlk45030139"/>
      <w:r>
        <w:rPr>
          <w:color w:val="000000"/>
          <w:szCs w:val="28"/>
          <w:lang w:eastAsia="ru-RU"/>
        </w:rPr>
        <w:t xml:space="preserve">4.2.3.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комитета. </w:t>
      </w:r>
      <w:r>
        <w:rPr>
          <w:szCs w:val="28"/>
        </w:rPr>
        <w:t>Для проведения проверки полноты и качества предоставления государственной услуги формируется комиссия, в состав которой включаются государственные гражданские служащие комитета, ответственные за организацию работы по предоставлению данной государственной услуги.</w:t>
      </w:r>
    </w:p>
    <w:p>
      <w:pPr>
        <w:pStyle w:val="Normal"/>
        <w:widowControl w:val="false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4.2.4. Внеплановые проверки полноты и качества предоставления государственной услуги проводятся на основании жалоб (претензий) заявителей на решения или действия (бездействие) должностных лиц комитета, принятые или осуществленные в ходе предоставления государственной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Cs w:val="28"/>
          <w:lang w:eastAsia="ru-RU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>
        <w:rPr>
          <w:spacing w:val="2"/>
          <w:szCs w:val="28"/>
        </w:rPr>
        <w:t>статьей 5.63 Кодекса Российской Федерации об административных правонарушениях</w:t>
      </w:r>
      <w:r>
        <w:rPr>
          <w:szCs w:val="28"/>
        </w:rPr>
        <w:t xml:space="preserve">, или признаков состава преступления </w:t>
      </w:r>
      <w:r>
        <w:rPr>
          <w:color w:val="000000"/>
          <w:szCs w:val="28"/>
        </w:rPr>
        <w:t>комиссия</w:t>
      </w:r>
      <w:r>
        <w:rPr>
          <w:szCs w:val="28"/>
        </w:rPr>
        <w:t xml:space="preserve"> незамедлительно направляет соответствующие материалы в органы прокуратуры.</w:t>
      </w:r>
      <w:bookmarkEnd w:id="13"/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bCs/>
          <w:color w:val="000000"/>
          <w:szCs w:val="28"/>
          <w:lang w:eastAsia="ru-RU"/>
        </w:rPr>
        <w:t>4.3</w:t>
      </w:r>
      <w:r>
        <w:rPr>
          <w:b/>
          <w:bCs/>
          <w:szCs w:val="28"/>
          <w:lang w:eastAsia="ru-RU"/>
        </w:rPr>
        <w:t>. Ответственность должностных лиц комитета,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 xml:space="preserve">4.3.1. Должностные лица, ответственные за решения и действия (бездействие), принимаемые (осуществляемые) в ходе предоставления государственной услуги, несут дисциплинарную и (или) административную ответственность в порядке, предусмотренном законодательством Российской Федерации и Курской области.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4.3.2. Персональная ответственность сотрудников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регламентах.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/>
          <w:bCs/>
          <w:szCs w:val="28"/>
          <w:lang w:eastAsia="ru-RU"/>
        </w:rPr>
        <w:t xml:space="preserve">4.4. </w:t>
      </w:r>
      <w:r>
        <w:rPr>
          <w:b/>
          <w:bCs/>
          <w:color w:val="000000"/>
          <w:spacing w:val="3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со </w:t>
      </w:r>
      <w:r>
        <w:rPr>
          <w:b/>
          <w:bCs/>
          <w:color w:val="000000"/>
          <w:szCs w:val="28"/>
          <w:lang w:eastAsia="ru-RU"/>
        </w:rPr>
        <w:t>стороны граждан, их объединений и организаций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bCs/>
          <w:szCs w:val="28"/>
          <w:lang w:eastAsia="ru-RU"/>
        </w:rPr>
        <w:t>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>
      <w:pPr>
        <w:pStyle w:val="Normal"/>
        <w:widowControl w:val="false"/>
        <w:tabs>
          <w:tab w:val="clear" w:pos="720"/>
          <w:tab w:val="left" w:pos="739" w:leader="none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Граждане, их объединения и организации вправе: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szCs w:val="28"/>
          <w:lang w:eastAsia="ru-RU"/>
        </w:rPr>
        <w:t>направлять замечания и предложения по улучшению доступности качества предоставления государственной услуги;</w:t>
      </w:r>
    </w:p>
    <w:p>
      <w:pPr>
        <w:pStyle w:val="ConsPlusNonformat"/>
        <w:shd w:val="clear" w:color="auto" w:fill="FFFFFF"/>
        <w:tabs>
          <w:tab w:val="clear" w:pos="720"/>
          <w:tab w:val="left" w:pos="8789" w:leader="none"/>
        </w:tabs>
        <w:ind w:firstLine="709"/>
        <w:jc w:val="both"/>
        <w:rPr/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вносить предложения о мерах по устранению нарушений Административного регламента.</w:t>
      </w:r>
    </w:p>
    <w:p>
      <w:pPr>
        <w:pStyle w:val="ConsPlusNonformat"/>
        <w:shd w:val="clear" w:color="auto" w:fill="FFFFFF"/>
        <w:tabs>
          <w:tab w:val="clear" w:pos="720"/>
          <w:tab w:val="left" w:pos="8789" w:leader="none"/>
        </w:tabs>
        <w:ind w:right="140" w:firstLine="737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r>
    </w:p>
    <w:p>
      <w:pPr>
        <w:pStyle w:val="Normal"/>
        <w:widowControl w:val="false"/>
        <w:ind w:left="709" w:hanging="0"/>
        <w:jc w:val="center"/>
        <w:rPr/>
      </w:pPr>
      <w:r>
        <w:rPr>
          <w:b/>
          <w:bCs/>
          <w:spacing w:val="2"/>
          <w:szCs w:val="28"/>
          <w:lang w:val="en-US" w:eastAsia="ru-RU"/>
        </w:rPr>
        <w:t>V</w:t>
      </w:r>
      <w:r>
        <w:rPr>
          <w:b/>
          <w:bCs/>
          <w:spacing w:val="2"/>
          <w:szCs w:val="28"/>
          <w:lang w:eastAsia="ru-RU"/>
        </w:rPr>
        <w:t xml:space="preserve">. Досудебный (внесудебный) порядок обжалования заявителем </w:t>
      </w:r>
      <w:r>
        <w:rPr>
          <w:b/>
          <w:bCs/>
          <w:spacing w:val="3"/>
          <w:szCs w:val="28"/>
          <w:lang w:eastAsia="ru-RU"/>
        </w:rPr>
        <w:t>решений и действий (бездействия) органа, предоставляющего государственную услугу</w:t>
      </w:r>
      <w:r>
        <w:rPr>
          <w:b/>
          <w:bCs/>
          <w:spacing w:val="2"/>
          <w:szCs w:val="28"/>
          <w:lang w:eastAsia="ru-RU"/>
        </w:rPr>
        <w:t xml:space="preserve">, должностного лица </w:t>
      </w:r>
      <w:r>
        <w:rPr>
          <w:b/>
          <w:bCs/>
          <w:spacing w:val="3"/>
          <w:szCs w:val="28"/>
          <w:lang w:eastAsia="ru-RU"/>
        </w:rPr>
        <w:t>органа, предоставляющего государственную услугу</w:t>
      </w:r>
      <w:r>
        <w:rPr>
          <w:b/>
          <w:bCs/>
          <w:spacing w:val="2"/>
          <w:szCs w:val="28"/>
          <w:lang w:eastAsia="ru-RU"/>
        </w:rPr>
        <w:t xml:space="preserve">, либо государственного </w:t>
      </w:r>
      <w:r>
        <w:rPr>
          <w:b/>
          <w:bCs/>
          <w:spacing w:val="4"/>
          <w:szCs w:val="28"/>
          <w:lang w:eastAsia="ru-RU"/>
        </w:rPr>
        <w:t>служащего, многофункционального центра, работника</w:t>
      </w:r>
      <w:r>
        <w:rPr>
          <w:b/>
          <w:bCs/>
          <w:spacing w:val="2"/>
          <w:szCs w:val="28"/>
          <w:lang w:eastAsia="ru-RU"/>
        </w:rPr>
        <w:t xml:space="preserve"> </w:t>
      </w:r>
      <w:r>
        <w:rPr>
          <w:b/>
          <w:bCs/>
          <w:spacing w:val="4"/>
          <w:szCs w:val="28"/>
          <w:lang w:eastAsia="ru-RU"/>
        </w:rPr>
        <w:t xml:space="preserve">многофункционального центра, а также организаций, предусмотренных частью 1.1 статьи 16 Федерального закона (далее – привлекаемые организации), </w:t>
      </w:r>
    </w:p>
    <w:p>
      <w:pPr>
        <w:pStyle w:val="Normal"/>
        <w:widowControl w:val="false"/>
        <w:ind w:left="709" w:hanging="0"/>
        <w:jc w:val="center"/>
        <w:rPr/>
      </w:pPr>
      <w:r>
        <w:rPr>
          <w:b/>
          <w:bCs/>
          <w:spacing w:val="4"/>
          <w:szCs w:val="28"/>
          <w:lang w:eastAsia="ru-RU"/>
        </w:rPr>
        <w:t xml:space="preserve">или их работников </w:t>
      </w:r>
    </w:p>
    <w:p>
      <w:pPr>
        <w:pStyle w:val="Normal"/>
        <w:widowControl w:val="false"/>
        <w:ind w:left="709" w:hanging="0"/>
        <w:jc w:val="center"/>
        <w:rPr>
          <w:b/>
          <w:b/>
          <w:bCs/>
          <w:spacing w:val="3"/>
          <w:szCs w:val="28"/>
          <w:lang w:eastAsia="ru-RU"/>
        </w:rPr>
      </w:pPr>
      <w:r>
        <w:rPr>
          <w:b/>
          <w:bCs/>
          <w:spacing w:val="3"/>
          <w:szCs w:val="28"/>
          <w:lang w:eastAsia="ru-RU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pacing w:val="3"/>
          <w:szCs w:val="28"/>
        </w:rPr>
        <w:t xml:space="preserve">5.1. Информация для заявителя о его праве подать жалобу на решение и (или) действие (бездействие) органа исполнительной власти Курской области, предоставляющего государственную услугу, и (или) его </w:t>
      </w:r>
      <w:r>
        <w:rPr>
          <w:b/>
          <w:bCs/>
          <w:spacing w:val="2"/>
          <w:szCs w:val="28"/>
        </w:rPr>
        <w:t xml:space="preserve">должностных лиц, </w:t>
      </w:r>
      <w:r>
        <w:rPr>
          <w:b/>
          <w:bCs/>
          <w:spacing w:val="1"/>
          <w:szCs w:val="28"/>
        </w:rPr>
        <w:t>государственных гражданских</w:t>
      </w:r>
      <w:r>
        <w:rPr>
          <w:b/>
          <w:bCs/>
          <w:szCs w:val="28"/>
        </w:rPr>
        <w:t xml:space="preserve"> </w:t>
      </w:r>
      <w:r>
        <w:rPr>
          <w:b/>
          <w:bCs/>
          <w:spacing w:val="4"/>
          <w:szCs w:val="28"/>
        </w:rPr>
        <w:t>служащих Курской области, многофункционального центра, работника многофункционального центра, а также привлекаемых</w:t>
      </w:r>
      <w:r>
        <w:rPr>
          <w:b/>
          <w:bCs/>
          <w:szCs w:val="28"/>
        </w:rPr>
        <w:t xml:space="preserve"> </w:t>
      </w:r>
      <w:r>
        <w:rPr>
          <w:b/>
          <w:bCs/>
          <w:spacing w:val="4"/>
          <w:szCs w:val="28"/>
        </w:rPr>
        <w:t>организаций или их работников (далее – жалоба)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pacing w:val="4"/>
          <w:szCs w:val="28"/>
          <w:lang w:eastAsia="ru-RU"/>
        </w:rPr>
        <w:t xml:space="preserve">Заявитель имеет право подать жалобу на решения и </w:t>
      </w:r>
      <w:r>
        <w:rPr>
          <w:spacing w:val="5"/>
          <w:szCs w:val="28"/>
          <w:lang w:eastAsia="ru-RU"/>
        </w:rPr>
        <w:t>действия (бездействия) комитета</w:t>
      </w:r>
      <w:r>
        <w:rPr>
          <w:spacing w:val="1"/>
          <w:szCs w:val="28"/>
          <w:lang w:eastAsia="ru-RU"/>
        </w:rPr>
        <w:t>, должностного лица комитета, либо государственного служащего при предоставлении государственной услуги.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bCs/>
          <w:spacing w:val="1"/>
          <w:szCs w:val="28"/>
          <w:lang w:eastAsia="ru-RU"/>
        </w:rPr>
        <w:t xml:space="preserve">Заявитель имеет право направить жалобу, </w:t>
      </w:r>
      <w:r>
        <w:rPr>
          <w:spacing w:val="1"/>
          <w:szCs w:val="28"/>
          <w:lang w:eastAsia="ru-RU"/>
        </w:rPr>
        <w:t xml:space="preserve">в том числе посредством федеральной государственной информационной системы «Единый портал государственных и муниципальных услуг (функций)» </w:t>
      </w:r>
      <w:hyperlink r:id="rId3">
        <w:r>
          <w:rPr>
            <w:rStyle w:val="Style14"/>
            <w:color w:val="000000"/>
            <w:spacing w:val="1"/>
            <w:szCs w:val="28"/>
            <w:u w:val="none"/>
            <w:lang w:val="en-US" w:eastAsia="ru-RU"/>
          </w:rPr>
          <w:t>http</w:t>
        </w:r>
        <w:r>
          <w:rPr>
            <w:rStyle w:val="Style14"/>
            <w:color w:val="000000"/>
            <w:spacing w:val="1"/>
            <w:szCs w:val="28"/>
            <w:u w:val="none"/>
            <w:lang w:eastAsia="ru-RU"/>
          </w:rPr>
          <w:t>://</w:t>
        </w:r>
        <w:r>
          <w:rPr>
            <w:rStyle w:val="Style14"/>
            <w:color w:val="000000"/>
            <w:spacing w:val="1"/>
            <w:szCs w:val="28"/>
            <w:u w:val="none"/>
            <w:lang w:val="en-US" w:eastAsia="ru-RU"/>
          </w:rPr>
          <w:t>gosuslugi</w:t>
        </w:r>
        <w:r>
          <w:rPr>
            <w:rStyle w:val="Style14"/>
            <w:color w:val="000000"/>
            <w:spacing w:val="1"/>
            <w:szCs w:val="28"/>
            <w:u w:val="none"/>
            <w:lang w:eastAsia="ru-RU"/>
          </w:rPr>
          <w:t>.</w:t>
        </w:r>
        <w:r>
          <w:rPr>
            <w:rStyle w:val="Style14"/>
            <w:color w:val="000000"/>
            <w:spacing w:val="1"/>
            <w:szCs w:val="28"/>
            <w:u w:val="none"/>
            <w:lang w:val="en-US" w:eastAsia="ru-RU"/>
          </w:rPr>
          <w:t>ru</w:t>
        </w:r>
      </w:hyperlink>
      <w:r>
        <w:rPr>
          <w:spacing w:val="1"/>
          <w:szCs w:val="28"/>
          <w:lang w:eastAsia="ru-RU"/>
        </w:rPr>
        <w:t>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b/>
          <w:spacing w:val="4"/>
          <w:szCs w:val="28"/>
        </w:rPr>
        <w:t xml:space="preserve">5.2. Органы исполнительной власти Курской области, многофункциональные центры, либо соответствующий орган </w:t>
      </w:r>
      <w:r>
        <w:rPr>
          <w:b/>
          <w:spacing w:val="2"/>
          <w:szCs w:val="28"/>
        </w:rPr>
        <w:t>государственной власти (орган местного самоуправления) публично-</w:t>
      </w:r>
      <w:r>
        <w:rPr>
          <w:b/>
          <w:szCs w:val="28"/>
        </w:rPr>
        <w:t xml:space="preserve">правового </w:t>
      </w:r>
      <w:r>
        <w:rPr>
          <w:b/>
          <w:spacing w:val="1"/>
          <w:szCs w:val="28"/>
        </w:rPr>
        <w:t xml:space="preserve">образования, </w:t>
      </w:r>
      <w:r>
        <w:rPr>
          <w:b/>
          <w:spacing w:val="4"/>
          <w:szCs w:val="28"/>
        </w:rPr>
        <w:t xml:space="preserve">являющийся </w:t>
      </w:r>
      <w:r>
        <w:rPr>
          <w:b/>
          <w:spacing w:val="-1"/>
          <w:szCs w:val="28"/>
        </w:rPr>
        <w:t xml:space="preserve">учредителем </w:t>
      </w:r>
      <w:r>
        <w:rPr>
          <w:b/>
          <w:spacing w:val="17"/>
          <w:szCs w:val="28"/>
        </w:rPr>
        <w:t>многофункционального центра</w:t>
      </w:r>
      <w:r>
        <w:rPr>
          <w:b/>
          <w:spacing w:val="5"/>
          <w:szCs w:val="28"/>
        </w:rPr>
        <w:t xml:space="preserve">, а также привлекаемые организации и уполномоченные на рассмотрение жалобы должностные лица, </w:t>
      </w:r>
      <w:r>
        <w:rPr>
          <w:b/>
          <w:spacing w:val="3"/>
          <w:szCs w:val="28"/>
        </w:rPr>
        <w:t>которым может быть направлена жалоба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>Жалоба может быть направлена в: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>Администрацию Курской области;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>комитет.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>Жалобы рассматривают: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pacing w:val="3"/>
          <w:szCs w:val="28"/>
        </w:rPr>
        <w:t xml:space="preserve">в Администрации Курской области – заместитель Губернатора </w:t>
      </w:r>
      <w:r>
        <w:rPr>
          <w:spacing w:val="10"/>
          <w:szCs w:val="28"/>
        </w:rPr>
        <w:t>Курской области, в ведении которого находится комитет</w:t>
      </w:r>
      <w:r>
        <w:rPr>
          <w:spacing w:val="-4"/>
          <w:szCs w:val="28"/>
        </w:rPr>
        <w:t>;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pacing w:val="-4"/>
          <w:szCs w:val="28"/>
          <w:lang w:eastAsia="ru-RU"/>
        </w:rPr>
        <w:t xml:space="preserve">в комитете – </w:t>
      </w:r>
      <w:r>
        <w:rPr>
          <w:spacing w:val="6"/>
          <w:szCs w:val="28"/>
          <w:lang w:eastAsia="ru-RU"/>
        </w:rPr>
        <w:t>председатель комитета, заместитель председателя комитета, уполномоченные на рассмотрение жалоб должностные лица комитета.</w:t>
      </w:r>
      <w:r>
        <w:rPr>
          <w:spacing w:val="-5"/>
          <w:szCs w:val="28"/>
          <w:lang w:eastAsia="ru-RU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b/>
          <w:spacing w:val="1"/>
          <w:szCs w:val="28"/>
          <w:lang w:eastAsia="ru-RU"/>
        </w:rPr>
        <w:t>5.3.</w:t>
      </w:r>
      <w:r>
        <w:rPr>
          <w:b/>
          <w:spacing w:val="-8"/>
          <w:szCs w:val="28"/>
        </w:rPr>
        <w:t xml:space="preserve"> </w:t>
      </w:r>
      <w:r>
        <w:rPr>
          <w:b/>
          <w:spacing w:val="4"/>
          <w:szCs w:val="28"/>
        </w:rPr>
        <w:t xml:space="preserve">Способы информирования заявителей о порядке подачи и </w:t>
      </w:r>
      <w:r>
        <w:rPr>
          <w:b/>
          <w:spacing w:val="2"/>
          <w:szCs w:val="28"/>
        </w:rPr>
        <w:t>рассмотрения жалобы, в том числе с использованием Единого портала.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pacing w:val="-1"/>
          <w:szCs w:val="28"/>
          <w:lang w:eastAsia="ru-RU"/>
        </w:rPr>
        <w:t xml:space="preserve">Информирование заявителей о порядке подачи и рассмотрения </w:t>
      </w:r>
      <w:r>
        <w:rPr>
          <w:spacing w:val="-4"/>
          <w:szCs w:val="28"/>
          <w:lang w:eastAsia="ru-RU"/>
        </w:rPr>
        <w:t xml:space="preserve">жалобы осуществляется посредством размещения информации на стендах </w:t>
      </w:r>
      <w:r>
        <w:rPr>
          <w:spacing w:val="-2"/>
          <w:szCs w:val="28"/>
          <w:lang w:eastAsia="ru-RU"/>
        </w:rPr>
        <w:t>в местах предоставления государственной услуги, на Едином портале</w:t>
      </w:r>
      <w:r>
        <w:rPr>
          <w:spacing w:val="-5"/>
          <w:szCs w:val="28"/>
          <w:lang w:eastAsia="ru-RU"/>
        </w:rPr>
        <w:t>,</w:t>
      </w:r>
      <w:r>
        <w:rPr>
          <w:spacing w:val="8"/>
          <w:szCs w:val="28"/>
          <w:lang w:eastAsia="ru-RU"/>
        </w:rPr>
        <w:t xml:space="preserve"> на официальном сайте комитета, </w:t>
      </w:r>
      <w:r>
        <w:rPr>
          <w:spacing w:val="-4"/>
          <w:szCs w:val="28"/>
          <w:lang w:eastAsia="ru-RU"/>
        </w:rPr>
        <w:t xml:space="preserve">предоставляющего государственную услугу, </w:t>
      </w:r>
      <w:r>
        <w:rPr>
          <w:spacing w:val="2"/>
          <w:szCs w:val="28"/>
          <w:lang w:eastAsia="ru-RU"/>
        </w:rPr>
        <w:t xml:space="preserve">в том числе по </w:t>
      </w:r>
      <w:r>
        <w:rPr>
          <w:spacing w:val="-4"/>
          <w:szCs w:val="28"/>
          <w:lang w:eastAsia="ru-RU"/>
        </w:rPr>
        <w:t>телефону, электронной почте, при личном приеме.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b/>
          <w:szCs w:val="28"/>
        </w:rPr>
        <w:t>5.4.</w:t>
      </w:r>
      <w:r>
        <w:rPr>
          <w:szCs w:val="28"/>
        </w:rPr>
        <w:t xml:space="preserve"> </w:t>
      </w:r>
      <w:r>
        <w:rPr>
          <w:b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 xml:space="preserve">Порядок досудебного (внесудебного) обжалования решений и действий (бездействия) комитета, предоставляющего государственную услугу, а также его должностных лиц, регулируется: 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>1. 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zCs w:val="28"/>
        </w:rPr>
        <w:t>2.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rFonts w:eastAsia="Liberation Serif"/>
          <w:color w:val="000000"/>
          <w:szCs w:val="28"/>
          <w:lang w:eastAsia="hi-IN" w:bidi="hi-IN"/>
        </w:rPr>
        <w:t>3. Постановлением Администрации Курской области от            19.12. 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</w:t>
      </w:r>
      <w:r>
        <w:rPr>
          <w:rFonts w:eastAsia="Liberation Serif"/>
          <w:color w:val="000000"/>
          <w:szCs w:val="28"/>
          <w:lang w:eastAsia="hi-IN"/>
        </w:rPr>
        <w:t>».</w:t>
      </w:r>
    </w:p>
    <w:p>
      <w:pPr>
        <w:pStyle w:val="Normal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spacing w:val="-4"/>
          <w:szCs w:val="28"/>
          <w:lang w:eastAsia="ru-RU"/>
        </w:rPr>
        <w:t xml:space="preserve">Информация, изложенная, в данном разделе размещена на Едином портале по </w:t>
      </w:r>
      <w:r>
        <w:rPr>
          <w:spacing w:val="6"/>
          <w:szCs w:val="28"/>
          <w:lang w:eastAsia="ru-RU"/>
        </w:rPr>
        <w:t xml:space="preserve">адресу: </w:t>
      </w:r>
      <w:hyperlink r:id="rId4">
        <w:r>
          <w:rPr>
            <w:rStyle w:val="Style14"/>
            <w:color w:val="000000"/>
            <w:spacing w:val="6"/>
            <w:szCs w:val="28"/>
            <w:u w:val="none"/>
            <w:lang w:val="en-US" w:eastAsia="ru-RU"/>
          </w:rPr>
          <w:t>https</w:t>
        </w:r>
        <w:r>
          <w:rPr>
            <w:rStyle w:val="Style14"/>
            <w:color w:val="000000"/>
            <w:spacing w:val="6"/>
            <w:szCs w:val="28"/>
            <w:u w:val="none"/>
            <w:lang w:eastAsia="ru-RU"/>
          </w:rPr>
          <w:t>://</w:t>
        </w:r>
        <w:r>
          <w:rPr>
            <w:rStyle w:val="Style14"/>
            <w:color w:val="000000"/>
            <w:spacing w:val="6"/>
            <w:szCs w:val="28"/>
            <w:u w:val="none"/>
            <w:lang w:val="en-US" w:eastAsia="ru-RU"/>
          </w:rPr>
          <w:t>www</w:t>
        </w:r>
        <w:r>
          <w:rPr>
            <w:rStyle w:val="Style14"/>
            <w:color w:val="000000"/>
            <w:spacing w:val="6"/>
            <w:szCs w:val="28"/>
            <w:u w:val="none"/>
            <w:lang w:eastAsia="ru-RU"/>
          </w:rPr>
          <w:t>.</w:t>
        </w:r>
        <w:r>
          <w:rPr>
            <w:rStyle w:val="Style14"/>
            <w:color w:val="000000"/>
            <w:spacing w:val="6"/>
            <w:szCs w:val="28"/>
            <w:u w:val="none"/>
            <w:lang w:val="en-US" w:eastAsia="ru-RU"/>
          </w:rPr>
          <w:t>gosuslugi</w:t>
        </w:r>
        <w:r>
          <w:rPr>
            <w:rStyle w:val="Style14"/>
            <w:color w:val="000000"/>
            <w:spacing w:val="6"/>
            <w:szCs w:val="28"/>
            <w:u w:val="none"/>
            <w:lang w:eastAsia="ru-RU"/>
          </w:rPr>
          <w:t>.</w:t>
        </w:r>
        <w:r>
          <w:rPr>
            <w:rStyle w:val="Style14"/>
            <w:color w:val="000000"/>
            <w:spacing w:val="6"/>
            <w:szCs w:val="28"/>
            <w:u w:val="none"/>
            <w:lang w:val="en-US" w:eastAsia="ru-RU"/>
          </w:rPr>
          <w:t>ru</w:t>
        </w:r>
      </w:hyperlink>
      <w:r>
        <w:rPr>
          <w:spacing w:val="6"/>
          <w:szCs w:val="28"/>
          <w:lang w:eastAsia="ru-RU"/>
        </w:rPr>
        <w:t>.</w:t>
      </w:r>
      <w:r>
        <w:br w:type="page"/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right"/>
        <w:rPr/>
      </w:pPr>
      <w:r>
        <w:rPr>
          <w:szCs w:val="28"/>
        </w:rPr>
        <w:t>Приложение № 1</w:t>
      </w:r>
    </w:p>
    <w:tbl>
      <w:tblPr>
        <w:tblW w:w="4748" w:type="dxa"/>
        <w:jc w:val="left"/>
        <w:tblInd w:w="443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48"/>
      </w:tblGrid>
      <w:tr>
        <w:trPr/>
        <w:tc>
          <w:tcPr>
            <w:tcW w:w="4748" w:type="dxa"/>
            <w:tcBorders/>
            <w:shd w:color="auto" w:fill="auto" w:val="clear"/>
          </w:tcPr>
          <w:p>
            <w:pPr>
              <w:pStyle w:val="ConsPlusTitle"/>
              <w:tabs>
                <w:tab w:val="clear" w:pos="720"/>
                <w:tab w:val="left" w:pos="8789" w:leader="none"/>
              </w:tabs>
              <w:ind w:right="140" w:hanging="0"/>
              <w:jc w:val="right"/>
              <w:rPr/>
            </w:pPr>
            <w:r>
              <w:rPr>
                <w:b w:val="false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b w:val="false"/>
                <w:color w:val="000000"/>
                <w:sz w:val="28"/>
                <w:szCs w:val="28"/>
              </w:rPr>
              <w:t>предоставления комитетом природных ресурсов Курской области государственной услуги «Согласование нормативов потерь</w:t>
            </w:r>
            <w:r>
              <w:rPr>
                <w:b w:val="false"/>
                <w:sz w:val="28"/>
                <w:szCs w:val="28"/>
              </w:rPr>
              <w:t xml:space="preserve">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документации» </w:t>
            </w:r>
          </w:p>
        </w:tc>
      </w:tr>
    </w:tbl>
    <w:p>
      <w:pPr>
        <w:pStyle w:val="ConsPlusTitle"/>
        <w:tabs>
          <w:tab w:val="clear" w:pos="720"/>
          <w:tab w:val="left" w:pos="3402" w:leader="none"/>
          <w:tab w:val="left" w:pos="8789" w:leader="none"/>
        </w:tabs>
        <w:ind w:right="140" w:hanging="0"/>
        <w:rPr/>
      </w:pPr>
      <w:r>
        <w:rPr>
          <w:b w:val="false"/>
        </w:rPr>
        <w:t xml:space="preserve">                                                                                               </w:t>
      </w:r>
    </w:p>
    <w:p>
      <w:pPr>
        <w:pStyle w:val="ConsPlusTitle"/>
        <w:tabs>
          <w:tab w:val="clear" w:pos="720"/>
          <w:tab w:val="left" w:pos="3402" w:leader="none"/>
          <w:tab w:val="left" w:pos="8789" w:leader="none"/>
        </w:tabs>
        <w:ind w:right="140" w:hanging="0"/>
        <w:rPr>
          <w:b w:val="false"/>
          <w:b w:val="false"/>
        </w:rPr>
      </w:pPr>
      <w:r>
        <w:rPr>
          <w:b w:val="false"/>
        </w:rPr>
      </w:r>
    </w:p>
    <w:tbl>
      <w:tblPr>
        <w:tblW w:w="4755" w:type="dxa"/>
        <w:jc w:val="left"/>
        <w:tblInd w:w="445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55"/>
      </w:tblGrid>
      <w:tr>
        <w:trPr>
          <w:trHeight w:val="960" w:hRule="atLeast"/>
        </w:trPr>
        <w:tc>
          <w:tcPr>
            <w:tcW w:w="4755" w:type="dxa"/>
            <w:tcBorders/>
            <w:shd w:color="auto" w:fill="auto" w:val="clear"/>
          </w:tcPr>
          <w:p>
            <w:pPr>
              <w:pStyle w:val="ConsPlusTitle"/>
              <w:tabs>
                <w:tab w:val="clear" w:pos="720"/>
                <w:tab w:val="left" w:pos="3402" w:leader="none"/>
                <w:tab w:val="left" w:pos="8789" w:leader="none"/>
              </w:tabs>
              <w:ind w:right="140" w:hanging="0"/>
              <w:rPr/>
            </w:pPr>
            <w:r>
              <w:rPr>
                <w:b w:val="false"/>
                <w:sz w:val="26"/>
                <w:szCs w:val="26"/>
              </w:rPr>
              <w:t>Председателю комитета природных ресурсов Курской области</w:t>
            </w:r>
          </w:p>
        </w:tc>
      </w:tr>
    </w:tbl>
    <w:p>
      <w:pPr>
        <w:pStyle w:val="ConsPlusTitle"/>
        <w:tabs>
          <w:tab w:val="clear" w:pos="720"/>
          <w:tab w:val="left" w:pos="3402" w:leader="none"/>
          <w:tab w:val="left" w:pos="8789" w:leader="none"/>
        </w:tabs>
        <w:ind w:right="140" w:hanging="0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 w:val="26"/>
          <w:szCs w:val="26"/>
        </w:rPr>
        <w:t>ЗАЯВЛЕНИЕ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 w:val="26"/>
          <w:szCs w:val="26"/>
        </w:rPr>
        <w:t>на согласование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Cs w:val="28"/>
        </w:rPr>
        <w:t xml:space="preserve">____________________________________________________________                        </w:t>
      </w:r>
      <w:r>
        <w:rPr>
          <w:sz w:val="18"/>
          <w:szCs w:val="18"/>
        </w:rPr>
        <w:t>(организация-заявитель)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 xml:space="preserve">Руководитель предприятия </w:t>
      </w:r>
      <w:r>
        <w:rPr>
          <w:szCs w:val="28"/>
        </w:rPr>
        <w:t>_________________________________________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 w:val="18"/>
          <w:szCs w:val="18"/>
        </w:rPr>
        <w:t>(Ф.И.О., должность полностью)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 xml:space="preserve">Юридический адрес (местонахождение) </w:t>
      </w:r>
      <w:r>
        <w:rPr>
          <w:szCs w:val="28"/>
        </w:rPr>
        <w:t>______________________________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>Идентификационный номер налогоплательщика (ИНН) _</w:t>
      </w:r>
      <w:r>
        <w:rPr>
          <w:szCs w:val="28"/>
        </w:rPr>
        <w:t>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 xml:space="preserve">телефон ____________________________,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>факс 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>Лицензия на пользование недрами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Cs w:val="28"/>
        </w:rPr>
        <w:t>_______________________________________________________________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jc w:val="center"/>
        <w:rPr/>
      </w:pPr>
      <w:r>
        <w:rPr>
          <w:sz w:val="18"/>
          <w:szCs w:val="18"/>
        </w:rPr>
        <w:t>(серия, тип, вид пользования недрами)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>Местоположение участка недр местного значения _________________________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>Горноотводный акт ________________________________________________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6"/>
          <w:szCs w:val="26"/>
        </w:rPr>
        <w:t xml:space="preserve">Перечень прилагаемых документов </w:t>
      </w:r>
      <w:r>
        <w:rPr>
          <w:szCs w:val="28"/>
        </w:rPr>
        <w:t>___________________________________</w:t>
      </w:r>
    </w:p>
    <w:p>
      <w:pPr>
        <w:pStyle w:val="Normal"/>
        <w:widowControl w:val="false"/>
        <w:tabs>
          <w:tab w:val="clear" w:pos="720"/>
          <w:tab w:val="left" w:pos="8789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 w:val="24"/>
          <w:szCs w:val="24"/>
        </w:rPr>
        <w:t xml:space="preserve">Руководитель </w:t>
      </w:r>
      <w:r>
        <w:rPr>
          <w:szCs w:val="28"/>
        </w:rPr>
        <w:t>_____________________________________________________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701" w:right="1134" w:header="811" w:top="1134" w:footer="0" w:bottom="1134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widowControl w:val="false"/>
        <w:tabs>
          <w:tab w:val="clear" w:pos="720"/>
          <w:tab w:val="left" w:pos="8789" w:leader="none"/>
        </w:tabs>
        <w:ind w:right="140" w:hanging="0"/>
        <w:rPr/>
      </w:pPr>
      <w:r>
        <w:rPr>
          <w:szCs w:val="28"/>
        </w:rPr>
        <w:t xml:space="preserve">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(Ф.И.О)</w:t>
      </w:r>
      <w:r>
        <w:rPr>
          <w:szCs w:val="28"/>
        </w:rPr>
        <w:t xml:space="preserve">                                             </w:t>
      </w:r>
      <w:r>
        <w:rPr>
          <w:sz w:val="18"/>
          <w:szCs w:val="18"/>
        </w:rPr>
        <w:t xml:space="preserve">(подпись, печать (при наличии), дата)       </w:t>
      </w:r>
    </w:p>
    <w:p>
      <w:pPr>
        <w:pStyle w:val="ConsPlusNormal"/>
        <w:widowControl/>
        <w:tabs>
          <w:tab w:val="clear" w:pos="720"/>
          <w:tab w:val="left" w:pos="8789" w:leader="none"/>
        </w:tabs>
        <w:ind w:right="140" w:hanging="0"/>
        <w:jc w:val="right"/>
        <w:rPr/>
      </w:pPr>
      <w:r>
        <w:rPr>
          <w:rFonts w:ascii="Times New Roman" w:hAnsi="Times New Roman"/>
          <w:sz w:val="28"/>
          <w:szCs w:val="28"/>
        </w:rPr>
        <w:t>Приложение № 2</w:t>
      </w:r>
    </w:p>
    <w:tbl>
      <w:tblPr>
        <w:tblW w:w="5966" w:type="dxa"/>
        <w:jc w:val="left"/>
        <w:tblInd w:w="882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66"/>
      </w:tblGrid>
      <w:tr>
        <w:trPr/>
        <w:tc>
          <w:tcPr>
            <w:tcW w:w="5966" w:type="dxa"/>
            <w:tcBorders/>
            <w:shd w:color="auto" w:fill="auto" w:val="clear"/>
          </w:tcPr>
          <w:p>
            <w:pPr>
              <w:pStyle w:val="ConsPlusTitle"/>
              <w:tabs>
                <w:tab w:val="clear" w:pos="720"/>
                <w:tab w:val="left" w:pos="8789" w:leader="none"/>
              </w:tabs>
              <w:ind w:right="140" w:hanging="0"/>
              <w:jc w:val="right"/>
              <w:rPr/>
            </w:pPr>
            <w:r>
              <w:rPr>
                <w:b w:val="false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b w:val="false"/>
                <w:color w:val="000000"/>
                <w:sz w:val="28"/>
                <w:szCs w:val="28"/>
              </w:rPr>
              <w:t>предоставления комитетом природных ресурсов Курской области государственной услуги «Согласование нормативов потерь общераспространенных</w:t>
            </w:r>
            <w:r>
              <w:rPr>
                <w:b w:val="false"/>
                <w:sz w:val="28"/>
                <w:szCs w:val="28"/>
              </w:rPr>
              <w:t xml:space="preserve"> полезных ископаемых при добыче, технологически связанных с принятой схемой </w:t>
            </w:r>
            <w:r>
              <w:rPr>
                <w:b w:val="false"/>
                <w:bCs w:val="false"/>
                <w:sz w:val="28"/>
                <w:szCs w:val="28"/>
              </w:rPr>
              <w:t>и технологией разработки месторождения на территории Курской области, превышающих по величине нормативы, утвержденные в составе проектной документации»</w:t>
            </w:r>
          </w:p>
        </w:tc>
      </w:tr>
    </w:tbl>
    <w:p>
      <w:pPr>
        <w:pStyle w:val="ConsPlusNormal"/>
        <w:widowControl/>
        <w:tabs>
          <w:tab w:val="clear" w:pos="720"/>
          <w:tab w:val="left" w:pos="8789" w:leader="none"/>
        </w:tabs>
        <w:ind w:left="8820" w:right="14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widowControl/>
        <w:tabs>
          <w:tab w:val="clear" w:pos="720"/>
          <w:tab w:val="left" w:pos="8789" w:leader="none"/>
        </w:tabs>
        <w:ind w:right="140" w:firstLine="709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Журнал регистрации заявлений и материалов на согласование нормативов потерь </w:t>
      </w:r>
    </w:p>
    <w:p>
      <w:pPr>
        <w:pStyle w:val="ConsPlusNormal"/>
        <w:widowControl/>
        <w:tabs>
          <w:tab w:val="clear" w:pos="720"/>
          <w:tab w:val="left" w:pos="8789" w:leader="none"/>
        </w:tabs>
        <w:ind w:right="140" w:firstLine="709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общераспространенных полезных ископаемых при добыче, технологически связанных с </w:t>
      </w:r>
    </w:p>
    <w:p>
      <w:pPr>
        <w:pStyle w:val="ConsPlusNormal"/>
        <w:widowControl/>
        <w:tabs>
          <w:tab w:val="clear" w:pos="720"/>
          <w:tab w:val="left" w:pos="8789" w:leader="none"/>
        </w:tabs>
        <w:ind w:right="140" w:firstLine="709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принятой схемой и технологией разработки месторождения на территории Курской области, </w:t>
      </w:r>
    </w:p>
    <w:p>
      <w:pPr>
        <w:pStyle w:val="ConsPlusNormal"/>
        <w:widowControl/>
        <w:tabs>
          <w:tab w:val="clear" w:pos="720"/>
          <w:tab w:val="left" w:pos="8789" w:leader="none"/>
        </w:tabs>
        <w:ind w:right="140" w:firstLine="709"/>
        <w:jc w:val="center"/>
        <w:rPr/>
      </w:pPr>
      <w:r>
        <w:rPr>
          <w:rFonts w:ascii="Times New Roman" w:hAnsi="Times New Roman"/>
          <w:sz w:val="28"/>
          <w:szCs w:val="28"/>
        </w:rPr>
        <w:t>превышающих по величине нормативы, утвержденные в составе проектной документации</w:t>
      </w:r>
    </w:p>
    <w:p>
      <w:pPr>
        <w:pStyle w:val="ConsPlusNormal"/>
        <w:widowControl/>
        <w:tabs>
          <w:tab w:val="clear" w:pos="720"/>
          <w:tab w:val="left" w:pos="8789" w:leader="none"/>
        </w:tabs>
        <w:ind w:right="14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551" w:type="dxa"/>
        <w:jc w:val="left"/>
        <w:tblInd w:w="77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420"/>
        <w:gridCol w:w="1336"/>
        <w:gridCol w:w="1710"/>
        <w:gridCol w:w="1696"/>
        <w:gridCol w:w="899"/>
        <w:gridCol w:w="1605"/>
        <w:gridCol w:w="1924"/>
        <w:gridCol w:w="1755"/>
        <w:gridCol w:w="1650"/>
        <w:gridCol w:w="1554"/>
      </w:tblGrid>
      <w:tr>
        <w:trPr>
          <w:trHeight w:val="939" w:hRule="atLeast"/>
          <w:cantSplit w:val="true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Входящий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номер/дата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регистрации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заявления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заявителя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(вид деятельности)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Адрес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(юридический/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фактический),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Результаты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рассмотрения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Исходящий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номер/дата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 xml:space="preserve">выдачи 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документов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Ф.И.О.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left="-70"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ответственного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исполнителя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Ф.И.О.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получившего документы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Подпись</w:t>
            </w:r>
          </w:p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hanging="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>получившего документы</w:t>
            </w:r>
          </w:p>
        </w:tc>
      </w:tr>
      <w:tr>
        <w:trPr>
          <w:trHeight w:val="240" w:hRule="atLeast"/>
          <w:cantSplit w:val="true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tabs>
                <w:tab w:val="clear" w:pos="720"/>
                <w:tab w:val="left" w:pos="8789" w:leader="none"/>
              </w:tabs>
              <w:ind w:right="140" w:firstLine="709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7"/>
      <w:headerReference w:type="first" r:id="rId8"/>
      <w:type w:val="nextPage"/>
      <w:pgSz w:orient="landscape" w:w="16838" w:h="11906"/>
      <w:pgMar w:left="1134" w:right="1134" w:header="1110" w:top="2049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jc w:val="center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jc w:val="center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  <w:p>
    <w:pPr>
      <w:pStyle w:val="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pacing w:val="-1"/>
        <w:b/>
        <w:szCs w:val="28"/>
        <w:bCs/>
        <w:highlight w:val="yellow"/>
        <w:rFonts w:eastAsia="Times New Roman"/>
        <w:color w:val="000000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  <w:b/>
        <w:szCs w:val="28"/>
        <w:bCs/>
        <w:lang w:val="ru-RU" w:eastAsia="ru-RU" w:bidi="ar-S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49e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highlight w:val="white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"/>
    <w:uiPriority w:val="9"/>
    <w:qFormat/>
    <w:rsid w:val="00b149e1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10"/>
    <w:uiPriority w:val="9"/>
    <w:qFormat/>
    <w:rsid w:val="00b149e1"/>
    <w:rPr>
      <w:rFonts w:ascii="Arial" w:hAnsi="Arial" w:eastAsia="Arial" w:cs="Arial"/>
      <w:sz w:val="34"/>
    </w:rPr>
  </w:style>
  <w:style w:type="character" w:styleId="Heading3Char" w:customStyle="1">
    <w:name w:val="Heading 3 Char"/>
    <w:link w:val="12"/>
    <w:uiPriority w:val="9"/>
    <w:qFormat/>
    <w:rsid w:val="00b149e1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13"/>
    <w:uiPriority w:val="9"/>
    <w:qFormat/>
    <w:rsid w:val="00b149e1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14"/>
    <w:uiPriority w:val="9"/>
    <w:qFormat/>
    <w:rsid w:val="00b149e1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22"/>
    <w:uiPriority w:val="9"/>
    <w:qFormat/>
    <w:rsid w:val="00b149e1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23"/>
    <w:uiPriority w:val="9"/>
    <w:qFormat/>
    <w:rsid w:val="00b149e1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24"/>
    <w:uiPriority w:val="9"/>
    <w:qFormat/>
    <w:rsid w:val="00b149e1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b149e1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link w:val="310"/>
    <w:uiPriority w:val="10"/>
    <w:qFormat/>
    <w:rsid w:val="00b149e1"/>
    <w:rPr>
      <w:sz w:val="48"/>
      <w:szCs w:val="48"/>
    </w:rPr>
  </w:style>
  <w:style w:type="character" w:styleId="SubtitleChar" w:customStyle="1">
    <w:name w:val="Subtitle Char"/>
    <w:link w:val="3"/>
    <w:uiPriority w:val="11"/>
    <w:qFormat/>
    <w:rsid w:val="00b149e1"/>
    <w:rPr>
      <w:sz w:val="24"/>
      <w:szCs w:val="24"/>
    </w:rPr>
  </w:style>
  <w:style w:type="character" w:styleId="QuoteChar" w:customStyle="1">
    <w:name w:val="Quote Char"/>
    <w:uiPriority w:val="29"/>
    <w:qFormat/>
    <w:rsid w:val="00b149e1"/>
    <w:rPr>
      <w:i/>
    </w:rPr>
  </w:style>
  <w:style w:type="character" w:styleId="IntenseQuoteChar" w:customStyle="1">
    <w:name w:val="Intense Quote Char"/>
    <w:uiPriority w:val="30"/>
    <w:qFormat/>
    <w:rsid w:val="00b149e1"/>
    <w:rPr>
      <w:i/>
    </w:rPr>
  </w:style>
  <w:style w:type="character" w:styleId="HeaderChar" w:customStyle="1">
    <w:name w:val="Header Char"/>
    <w:uiPriority w:val="99"/>
    <w:qFormat/>
    <w:rsid w:val="00b149e1"/>
    <w:rPr/>
  </w:style>
  <w:style w:type="character" w:styleId="FooterChar" w:customStyle="1">
    <w:name w:val="Footer Char"/>
    <w:link w:val="410"/>
    <w:uiPriority w:val="99"/>
    <w:qFormat/>
    <w:rsid w:val="00b149e1"/>
    <w:rPr/>
  </w:style>
  <w:style w:type="character" w:styleId="Style14">
    <w:name w:val="Интернет-ссылка"/>
    <w:qFormat/>
    <w:rsid w:val="00b149e1"/>
    <w:rPr>
      <w:color w:val="0000FF"/>
      <w:u w:val="single"/>
    </w:rPr>
  </w:style>
  <w:style w:type="character" w:styleId="FootnoteTextChar" w:customStyle="1">
    <w:name w:val="Footnote Text Char"/>
    <w:uiPriority w:val="99"/>
    <w:qFormat/>
    <w:rsid w:val="00b149e1"/>
    <w:rPr>
      <w:sz w:val="18"/>
    </w:rPr>
  </w:style>
  <w:style w:type="character" w:styleId="Style15" w:customStyle="1">
    <w:name w:val="Привязка сноски"/>
    <w:rsid w:val="00b149e1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b149e1"/>
    <w:rPr>
      <w:vertAlign w:val="superscript"/>
    </w:rPr>
  </w:style>
  <w:style w:type="character" w:styleId="WW8Num1z0" w:customStyle="1">
    <w:name w:val="WW8Num1z0"/>
    <w:qFormat/>
    <w:rsid w:val="00b149e1"/>
    <w:rPr/>
  </w:style>
  <w:style w:type="character" w:styleId="WW8Num1z1" w:customStyle="1">
    <w:name w:val="WW8Num1z1"/>
    <w:qFormat/>
    <w:rsid w:val="00b149e1"/>
    <w:rPr/>
  </w:style>
  <w:style w:type="character" w:styleId="WW8Num1z2" w:customStyle="1">
    <w:name w:val="WW8Num1z2"/>
    <w:qFormat/>
    <w:rsid w:val="00b149e1"/>
    <w:rPr/>
  </w:style>
  <w:style w:type="character" w:styleId="WW8Num1z3" w:customStyle="1">
    <w:name w:val="WW8Num1z3"/>
    <w:qFormat/>
    <w:rsid w:val="00b149e1"/>
    <w:rPr/>
  </w:style>
  <w:style w:type="character" w:styleId="WW8Num1z4" w:customStyle="1">
    <w:name w:val="WW8Num1z4"/>
    <w:qFormat/>
    <w:rsid w:val="00b149e1"/>
    <w:rPr/>
  </w:style>
  <w:style w:type="character" w:styleId="WW8Num1z5" w:customStyle="1">
    <w:name w:val="WW8Num1z5"/>
    <w:qFormat/>
    <w:rsid w:val="00b149e1"/>
    <w:rPr/>
  </w:style>
  <w:style w:type="character" w:styleId="WW8Num1z6" w:customStyle="1">
    <w:name w:val="WW8Num1z6"/>
    <w:qFormat/>
    <w:rsid w:val="00b149e1"/>
    <w:rPr/>
  </w:style>
  <w:style w:type="character" w:styleId="WW8Num1z7" w:customStyle="1">
    <w:name w:val="WW8Num1z7"/>
    <w:qFormat/>
    <w:rsid w:val="00b149e1"/>
    <w:rPr/>
  </w:style>
  <w:style w:type="character" w:styleId="WW8Num1z8" w:customStyle="1">
    <w:name w:val="WW8Num1z8"/>
    <w:qFormat/>
    <w:rsid w:val="00b149e1"/>
    <w:rPr/>
  </w:style>
  <w:style w:type="character" w:styleId="WW8Num2z0" w:customStyle="1">
    <w:name w:val="WW8Num2z0"/>
    <w:qFormat/>
    <w:rsid w:val="00b149e1"/>
    <w:rPr>
      <w:rFonts w:ascii="Tahoma" w:hAnsi="Tahoma" w:eastAsia="Times New Roman"/>
      <w:b/>
      <w:bCs/>
      <w:color w:val="000000"/>
      <w:spacing w:val="-1"/>
      <w:sz w:val="28"/>
      <w:szCs w:val="28"/>
      <w:highlight w:val="yellow"/>
      <w:lang w:val="ru-RU" w:eastAsia="ru-RU" w:bidi="ar-SA"/>
    </w:rPr>
  </w:style>
  <w:style w:type="character" w:styleId="WW8Num2z1" w:customStyle="1">
    <w:name w:val="WW8Num2z1"/>
    <w:qFormat/>
    <w:rsid w:val="00b149e1"/>
    <w:rPr>
      <w:b/>
      <w:bCs/>
      <w:sz w:val="28"/>
      <w:szCs w:val="28"/>
      <w:lang w:val="ru-RU" w:eastAsia="ru-RU" w:bidi="ar-SA"/>
    </w:rPr>
  </w:style>
  <w:style w:type="character" w:styleId="WW8Num2z2" w:customStyle="1">
    <w:name w:val="WW8Num2z2"/>
    <w:qFormat/>
    <w:rsid w:val="00b149e1"/>
    <w:rPr/>
  </w:style>
  <w:style w:type="character" w:styleId="WW8Num2z3" w:customStyle="1">
    <w:name w:val="WW8Num2z3"/>
    <w:qFormat/>
    <w:rsid w:val="00b149e1"/>
    <w:rPr/>
  </w:style>
  <w:style w:type="character" w:styleId="WW8Num2z4" w:customStyle="1">
    <w:name w:val="WW8Num2z4"/>
    <w:qFormat/>
    <w:rsid w:val="00b149e1"/>
    <w:rPr/>
  </w:style>
  <w:style w:type="character" w:styleId="WW8Num2z5" w:customStyle="1">
    <w:name w:val="WW8Num2z5"/>
    <w:qFormat/>
    <w:rsid w:val="00b149e1"/>
    <w:rPr/>
  </w:style>
  <w:style w:type="character" w:styleId="WW8Num2z6" w:customStyle="1">
    <w:name w:val="WW8Num2z6"/>
    <w:qFormat/>
    <w:rsid w:val="00b149e1"/>
    <w:rPr/>
  </w:style>
  <w:style w:type="character" w:styleId="WW8Num2z7" w:customStyle="1">
    <w:name w:val="WW8Num2z7"/>
    <w:qFormat/>
    <w:rsid w:val="00b149e1"/>
    <w:rPr/>
  </w:style>
  <w:style w:type="character" w:styleId="WW8Num2z8" w:customStyle="1">
    <w:name w:val="WW8Num2z8"/>
    <w:qFormat/>
    <w:rsid w:val="00b149e1"/>
    <w:rPr/>
  </w:style>
  <w:style w:type="character" w:styleId="4" w:customStyle="1">
    <w:name w:val="Основной шрифт абзаца4"/>
    <w:qFormat/>
    <w:rsid w:val="00b149e1"/>
    <w:rPr/>
  </w:style>
  <w:style w:type="character" w:styleId="3" w:customStyle="1">
    <w:name w:val="Основной шрифт абзаца3"/>
    <w:qFormat/>
    <w:rsid w:val="00b149e1"/>
    <w:rPr/>
  </w:style>
  <w:style w:type="character" w:styleId="WW8Num3z0" w:customStyle="1">
    <w:name w:val="WW8Num3z0"/>
    <w:qFormat/>
    <w:rsid w:val="00b149e1"/>
    <w:rPr>
      <w:rFonts w:ascii="Times New Roman" w:hAnsi="Times New Roman"/>
      <w:i/>
      <w:spacing w:val="-4"/>
      <w:szCs w:val="28"/>
    </w:rPr>
  </w:style>
  <w:style w:type="character" w:styleId="WW8Num4z0" w:customStyle="1">
    <w:name w:val="WW8Num4z0"/>
    <w:qFormat/>
    <w:rsid w:val="00b149e1"/>
    <w:rPr>
      <w:rFonts w:ascii="Times New Roman" w:hAnsi="Times New Roman"/>
      <w:i/>
      <w:spacing w:val="-5"/>
      <w:szCs w:val="28"/>
    </w:rPr>
  </w:style>
  <w:style w:type="character" w:styleId="WW8Num5z0" w:customStyle="1">
    <w:name w:val="WW8Num5z0"/>
    <w:qFormat/>
    <w:rsid w:val="00b149e1"/>
    <w:rPr>
      <w:rFonts w:ascii="Times New Roman" w:hAnsi="Times New Roman"/>
      <w:i/>
      <w:spacing w:val="-5"/>
      <w:szCs w:val="28"/>
    </w:rPr>
  </w:style>
  <w:style w:type="character" w:styleId="2" w:customStyle="1">
    <w:name w:val="Основной шрифт абзаца2"/>
    <w:link w:val="Heading6Char"/>
    <w:qFormat/>
    <w:rsid w:val="00b149e1"/>
    <w:rPr/>
  </w:style>
  <w:style w:type="character" w:styleId="WW8Num3z1" w:customStyle="1">
    <w:name w:val="WW8Num3z1"/>
    <w:qFormat/>
    <w:rsid w:val="00b149e1"/>
    <w:rPr/>
  </w:style>
  <w:style w:type="character" w:styleId="WW8Num3z2" w:customStyle="1">
    <w:name w:val="WW8Num3z2"/>
    <w:qFormat/>
    <w:rsid w:val="00b149e1"/>
    <w:rPr/>
  </w:style>
  <w:style w:type="character" w:styleId="WW8Num3z3" w:customStyle="1">
    <w:name w:val="WW8Num3z3"/>
    <w:qFormat/>
    <w:rsid w:val="00b149e1"/>
    <w:rPr/>
  </w:style>
  <w:style w:type="character" w:styleId="WW8Num3z4" w:customStyle="1">
    <w:name w:val="WW8Num3z4"/>
    <w:qFormat/>
    <w:rsid w:val="00b149e1"/>
    <w:rPr/>
  </w:style>
  <w:style w:type="character" w:styleId="WW8Num3z5" w:customStyle="1">
    <w:name w:val="WW8Num3z5"/>
    <w:qFormat/>
    <w:rsid w:val="00b149e1"/>
    <w:rPr/>
  </w:style>
  <w:style w:type="character" w:styleId="WW8Num3z6" w:customStyle="1">
    <w:name w:val="WW8Num3z6"/>
    <w:qFormat/>
    <w:rsid w:val="00b149e1"/>
    <w:rPr/>
  </w:style>
  <w:style w:type="character" w:styleId="WW8Num3z7" w:customStyle="1">
    <w:name w:val="WW8Num3z7"/>
    <w:qFormat/>
    <w:rsid w:val="00b149e1"/>
    <w:rPr/>
  </w:style>
  <w:style w:type="character" w:styleId="WW8Num3z8" w:customStyle="1">
    <w:name w:val="WW8Num3z8"/>
    <w:qFormat/>
    <w:rsid w:val="00b149e1"/>
    <w:rPr/>
  </w:style>
  <w:style w:type="character" w:styleId="1" w:customStyle="1">
    <w:name w:val="Основной шрифт абзаца1"/>
    <w:link w:val="Heading1Char"/>
    <w:qFormat/>
    <w:rsid w:val="00b149e1"/>
    <w:rPr/>
  </w:style>
  <w:style w:type="character" w:styleId="Style16" w:customStyle="1">
    <w:name w:val="Цветовое выделение"/>
    <w:qFormat/>
    <w:rsid w:val="00b149e1"/>
    <w:rPr>
      <w:b/>
      <w:bCs/>
      <w:color w:val="000080"/>
      <w:sz w:val="20"/>
      <w:szCs w:val="20"/>
    </w:rPr>
  </w:style>
  <w:style w:type="character" w:styleId="Style17" w:customStyle="1">
    <w:name w:val="Гипертекстовая ссылка"/>
    <w:qFormat/>
    <w:rsid w:val="00b149e1"/>
    <w:rPr>
      <w:b/>
      <w:bCs/>
      <w:color w:val="008000"/>
      <w:sz w:val="20"/>
      <w:szCs w:val="20"/>
      <w:u w:val="single"/>
    </w:rPr>
  </w:style>
  <w:style w:type="character" w:styleId="FollowedHyperlink">
    <w:name w:val="FollowedHyperlink"/>
    <w:qFormat/>
    <w:rsid w:val="00b149e1"/>
    <w:rPr>
      <w:color w:val="0000FF"/>
      <w:u w:val="single"/>
    </w:rPr>
  </w:style>
  <w:style w:type="character" w:styleId="Pagenumber">
    <w:name w:val="page number"/>
    <w:basedOn w:val="1"/>
    <w:qFormat/>
    <w:rsid w:val="00b149e1"/>
    <w:rPr/>
  </w:style>
  <w:style w:type="character" w:styleId="Style18" w:customStyle="1">
    <w:name w:val="Знак Знак"/>
    <w:basedOn w:val="1"/>
    <w:qFormat/>
    <w:rsid w:val="00b149e1"/>
    <w:rPr/>
  </w:style>
  <w:style w:type="character" w:styleId="Style19" w:customStyle="1">
    <w:name w:val="Символ сноски"/>
    <w:qFormat/>
    <w:rsid w:val="00b149e1"/>
    <w:rPr>
      <w:vertAlign w:val="superscript"/>
    </w:rPr>
  </w:style>
  <w:style w:type="character" w:styleId="Style20" w:customStyle="1">
    <w:name w:val="Знак Знак Знак"/>
    <w:qFormat/>
    <w:rsid w:val="00b149e1"/>
    <w:rPr>
      <w:sz w:val="24"/>
      <w:szCs w:val="24"/>
      <w:lang w:val="ru-RU" w:bidi="ar-SA"/>
    </w:rPr>
  </w:style>
  <w:style w:type="character" w:styleId="Strong">
    <w:name w:val="Strong"/>
    <w:qFormat/>
    <w:rsid w:val="00b149e1"/>
    <w:rPr>
      <w:b/>
      <w:bCs/>
    </w:rPr>
  </w:style>
  <w:style w:type="character" w:styleId="Highlighthighlightactive" w:customStyle="1">
    <w:name w:val="highlight highlight_active"/>
    <w:basedOn w:val="1"/>
    <w:qFormat/>
    <w:rsid w:val="00b149e1"/>
    <w:rPr/>
  </w:style>
  <w:style w:type="character" w:styleId="FontStyle44" w:customStyle="1">
    <w:name w:val="Font Style44"/>
    <w:qFormat/>
    <w:rsid w:val="00b149e1"/>
    <w:rPr>
      <w:rFonts w:ascii="Times New Roman" w:hAnsi="Times New Roman"/>
      <w:sz w:val="26"/>
      <w:szCs w:val="26"/>
    </w:rPr>
  </w:style>
  <w:style w:type="character" w:styleId="Blk" w:customStyle="1">
    <w:name w:val="blk"/>
    <w:basedOn w:val="1"/>
    <w:qFormat/>
    <w:rsid w:val="00b149e1"/>
    <w:rPr/>
  </w:style>
  <w:style w:type="character" w:styleId="Appleconvertedspace" w:customStyle="1">
    <w:name w:val="apple-converted-space"/>
    <w:basedOn w:val="1"/>
    <w:qFormat/>
    <w:rsid w:val="00b149e1"/>
    <w:rPr/>
  </w:style>
  <w:style w:type="character" w:styleId="Style21" w:customStyle="1">
    <w:name w:val="Текст выноски Знак"/>
    <w:qFormat/>
    <w:rsid w:val="00b149e1"/>
    <w:rPr>
      <w:rFonts w:ascii="Segoe UI" w:hAnsi="Segoe UI"/>
      <w:sz w:val="18"/>
      <w:szCs w:val="18"/>
      <w:lang w:eastAsia="zh-CN"/>
    </w:rPr>
  </w:style>
  <w:style w:type="character" w:styleId="Style22" w:customStyle="1">
    <w:name w:val="Верхний колонтитул Знак"/>
    <w:qFormat/>
    <w:rsid w:val="00b149e1"/>
    <w:rPr>
      <w:sz w:val="28"/>
      <w:lang w:eastAsia="zh-CN"/>
    </w:rPr>
  </w:style>
  <w:style w:type="character" w:styleId="Style23" w:customStyle="1">
    <w:name w:val="Нижний колонтитул Знак"/>
    <w:qFormat/>
    <w:rsid w:val="00b149e1"/>
    <w:rPr>
      <w:sz w:val="28"/>
      <w:lang w:eastAsia="zh-CN"/>
    </w:rPr>
  </w:style>
  <w:style w:type="paragraph" w:styleId="Style24" w:customStyle="1">
    <w:name w:val="Заголовок"/>
    <w:basedOn w:val="Normal"/>
    <w:next w:val="Style25"/>
    <w:qFormat/>
    <w:rsid w:val="00b149e1"/>
    <w:pPr>
      <w:keepNext w:val="true"/>
      <w:spacing w:before="240" w:after="120"/>
    </w:pPr>
    <w:rPr>
      <w:rFonts w:ascii="Liberation Sans" w:hAnsi="Liberation Sans" w:eastAsia="WenQuanYi Zen Hei Sharp" w:cs="Lohit Devanagari"/>
      <w:szCs w:val="28"/>
    </w:rPr>
  </w:style>
  <w:style w:type="paragraph" w:styleId="Style25">
    <w:name w:val="Body Text"/>
    <w:basedOn w:val="Normal"/>
    <w:rsid w:val="00b149e1"/>
    <w:pPr>
      <w:spacing w:before="0" w:after="120"/>
    </w:pPr>
    <w:rPr/>
  </w:style>
  <w:style w:type="paragraph" w:styleId="Style26">
    <w:name w:val="List"/>
    <w:basedOn w:val="Style25"/>
    <w:rsid w:val="00b149e1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next w:val="Normal"/>
    <w:qFormat/>
    <w:rsid w:val="00b149e1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1" w:customStyle="1">
    <w:name w:val="Заголовок 21"/>
    <w:basedOn w:val="Normal"/>
    <w:next w:val="Normal"/>
    <w:qFormat/>
    <w:rsid w:val="00b149e1"/>
    <w:pPr>
      <w:keepNext w:val="true"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1" w:customStyle="1">
    <w:name w:val="Заголовок 31"/>
    <w:basedOn w:val="Normal"/>
    <w:next w:val="Normal"/>
    <w:qFormat/>
    <w:rsid w:val="00b149e1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b149e1"/>
    <w:pPr>
      <w:keepNext w:val="true"/>
      <w:spacing w:before="240" w:after="60"/>
      <w:outlineLvl w:val="3"/>
    </w:pPr>
    <w:rPr>
      <w:b/>
      <w:bCs/>
      <w:szCs w:val="28"/>
    </w:rPr>
  </w:style>
  <w:style w:type="paragraph" w:styleId="51" w:customStyle="1">
    <w:name w:val="Заголовок 51"/>
    <w:basedOn w:val="Style24"/>
    <w:uiPriority w:val="9"/>
    <w:unhideWhenUsed/>
    <w:qFormat/>
    <w:rsid w:val="00b149e1"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qFormat/>
    <w:rsid w:val="00b149e1"/>
    <w:pPr>
      <w:spacing w:before="240" w:after="60"/>
      <w:outlineLvl w:val="5"/>
    </w:pPr>
    <w:rPr>
      <w:b/>
      <w:bCs/>
      <w:sz w:val="22"/>
    </w:rPr>
  </w:style>
  <w:style w:type="paragraph" w:styleId="71" w:customStyle="1">
    <w:name w:val="Заголовок 71"/>
    <w:basedOn w:val="Style24"/>
    <w:link w:val="2"/>
    <w:uiPriority w:val="9"/>
    <w:unhideWhenUsed/>
    <w:qFormat/>
    <w:rsid w:val="00b149e1"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Style24"/>
    <w:link w:val="20"/>
    <w:uiPriority w:val="9"/>
    <w:unhideWhenUsed/>
    <w:qFormat/>
    <w:rsid w:val="00b149e1"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qFormat/>
    <w:rsid w:val="00b149e1"/>
    <w:pPr>
      <w:spacing w:before="240" w:after="60"/>
      <w:outlineLvl w:val="8"/>
    </w:pPr>
    <w:rPr>
      <w:rFonts w:ascii="Arial" w:hAnsi="Arial"/>
      <w:sz w:val="22"/>
    </w:rPr>
  </w:style>
  <w:style w:type="paragraph" w:styleId="12" w:customStyle="1">
    <w:name w:val="Название объекта1"/>
    <w:basedOn w:val="Normal"/>
    <w:qFormat/>
    <w:rsid w:val="00b149e1"/>
    <w:pPr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rsid w:val="00b149e1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b149e1"/>
    <w:pPr>
      <w:widowControl w:val="false"/>
      <w:spacing w:before="0" w:after="0"/>
      <w:ind w:left="720" w:hanging="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b149e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highlight w:val="white"/>
      <w:lang w:val="ru-RU" w:eastAsia="en-US" w:bidi="en-US"/>
    </w:rPr>
  </w:style>
  <w:style w:type="paragraph" w:styleId="Style29">
    <w:name w:val="Title"/>
    <w:basedOn w:val="Style24"/>
    <w:link w:val="af7"/>
    <w:uiPriority w:val="10"/>
    <w:qFormat/>
    <w:rsid w:val="00b149e1"/>
    <w:pPr>
      <w:spacing w:before="300" w:after="200"/>
      <w:contextualSpacing/>
    </w:pPr>
    <w:rPr>
      <w:sz w:val="48"/>
      <w:szCs w:val="48"/>
    </w:rPr>
  </w:style>
  <w:style w:type="paragraph" w:styleId="Style30">
    <w:name w:val="Subtitle"/>
    <w:basedOn w:val="16"/>
    <w:next w:val="Style25"/>
    <w:qFormat/>
    <w:rsid w:val="00b149e1"/>
    <w:pPr>
      <w:spacing w:before="60" w:after="120"/>
    </w:pPr>
    <w:rPr>
      <w:sz w:val="36"/>
      <w:szCs w:val="36"/>
    </w:rPr>
  </w:style>
  <w:style w:type="paragraph" w:styleId="Quote">
    <w:name w:val="Quote"/>
    <w:uiPriority w:val="29"/>
    <w:qFormat/>
    <w:rsid w:val="00b149e1"/>
    <w:pPr>
      <w:widowControl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8"/>
      <w:szCs w:val="22"/>
      <w:highlight w:val="white"/>
      <w:lang w:val="ru-RU" w:eastAsia="en-US" w:bidi="en-US"/>
    </w:rPr>
  </w:style>
  <w:style w:type="paragraph" w:styleId="IntenseQuote">
    <w:name w:val="Intense Quote"/>
    <w:uiPriority w:val="30"/>
    <w:qFormat/>
    <w:rsid w:val="00b149e1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8"/>
      <w:szCs w:val="22"/>
      <w:highlight w:val="white"/>
      <w:lang w:val="ru-RU" w:eastAsia="en-US" w:bidi="en-US"/>
    </w:rPr>
  </w:style>
  <w:style w:type="paragraph" w:styleId="Style31" w:customStyle="1">
    <w:name w:val="Верхний и нижний колонтитулы"/>
    <w:basedOn w:val="Normal"/>
    <w:qFormat/>
    <w:rsid w:val="00b149e1"/>
    <w:pPr/>
    <w:rPr/>
  </w:style>
  <w:style w:type="paragraph" w:styleId="13" w:customStyle="1">
    <w:name w:val="Верхний колонтитул1"/>
    <w:basedOn w:val="Normal"/>
    <w:qFormat/>
    <w:rsid w:val="00b149e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qFormat/>
    <w:rsid w:val="00b149e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5" w:customStyle="1">
    <w:name w:val="Текст сноски1"/>
    <w:basedOn w:val="Normal"/>
    <w:uiPriority w:val="99"/>
    <w:semiHidden/>
    <w:unhideWhenUsed/>
    <w:qFormat/>
    <w:rsid w:val="00b149e1"/>
    <w:pPr>
      <w:spacing w:before="0" w:after="40"/>
    </w:pPr>
    <w:rPr>
      <w:sz w:val="18"/>
    </w:rPr>
  </w:style>
  <w:style w:type="paragraph" w:styleId="111" w:customStyle="1">
    <w:name w:val="Оглавление 11"/>
    <w:basedOn w:val="Indexheading"/>
    <w:uiPriority w:val="39"/>
    <w:unhideWhenUsed/>
    <w:qFormat/>
    <w:rsid w:val="00b149e1"/>
    <w:pPr>
      <w:spacing w:before="0" w:after="57"/>
    </w:pPr>
    <w:rPr/>
  </w:style>
  <w:style w:type="paragraph" w:styleId="211" w:customStyle="1">
    <w:name w:val="Оглавление 21"/>
    <w:basedOn w:val="Indexheading"/>
    <w:uiPriority w:val="39"/>
    <w:unhideWhenUsed/>
    <w:qFormat/>
    <w:rsid w:val="00b149e1"/>
    <w:pPr>
      <w:spacing w:before="0" w:after="57"/>
      <w:ind w:left="283" w:hanging="0"/>
    </w:pPr>
    <w:rPr/>
  </w:style>
  <w:style w:type="paragraph" w:styleId="311" w:customStyle="1">
    <w:name w:val="Оглавление 31"/>
    <w:basedOn w:val="Indexheading"/>
    <w:link w:val="TitleChar"/>
    <w:uiPriority w:val="39"/>
    <w:unhideWhenUsed/>
    <w:qFormat/>
    <w:rsid w:val="00b149e1"/>
    <w:pPr>
      <w:spacing w:before="0" w:after="57"/>
      <w:ind w:left="567" w:hanging="0"/>
    </w:pPr>
    <w:rPr/>
  </w:style>
  <w:style w:type="paragraph" w:styleId="411" w:customStyle="1">
    <w:name w:val="Оглавление 41"/>
    <w:basedOn w:val="Indexheading"/>
    <w:link w:val="FooterChar"/>
    <w:uiPriority w:val="39"/>
    <w:unhideWhenUsed/>
    <w:qFormat/>
    <w:rsid w:val="00b149e1"/>
    <w:pPr>
      <w:spacing w:before="0" w:after="57"/>
      <w:ind w:left="850" w:hanging="0"/>
    </w:pPr>
    <w:rPr/>
  </w:style>
  <w:style w:type="paragraph" w:styleId="511" w:customStyle="1">
    <w:name w:val="Оглавление 51"/>
    <w:basedOn w:val="Indexheading"/>
    <w:uiPriority w:val="39"/>
    <w:unhideWhenUsed/>
    <w:qFormat/>
    <w:rsid w:val="00b149e1"/>
    <w:pPr>
      <w:spacing w:before="0" w:after="57"/>
      <w:ind w:left="1134" w:hanging="0"/>
    </w:pPr>
    <w:rPr/>
  </w:style>
  <w:style w:type="paragraph" w:styleId="611" w:customStyle="1">
    <w:name w:val="Оглавление 61"/>
    <w:basedOn w:val="Indexheading"/>
    <w:uiPriority w:val="39"/>
    <w:unhideWhenUsed/>
    <w:qFormat/>
    <w:rsid w:val="00b149e1"/>
    <w:pPr>
      <w:spacing w:before="0" w:after="57"/>
      <w:ind w:left="1417" w:hanging="0"/>
    </w:pPr>
    <w:rPr/>
  </w:style>
  <w:style w:type="paragraph" w:styleId="711" w:customStyle="1">
    <w:name w:val="Оглавление 71"/>
    <w:basedOn w:val="Indexheading"/>
    <w:uiPriority w:val="39"/>
    <w:unhideWhenUsed/>
    <w:qFormat/>
    <w:rsid w:val="00b149e1"/>
    <w:pPr>
      <w:spacing w:before="0" w:after="57"/>
      <w:ind w:left="1701" w:hanging="0"/>
    </w:pPr>
    <w:rPr/>
  </w:style>
  <w:style w:type="paragraph" w:styleId="811" w:customStyle="1">
    <w:name w:val="Оглавление 81"/>
    <w:basedOn w:val="Indexheading"/>
    <w:uiPriority w:val="39"/>
    <w:unhideWhenUsed/>
    <w:qFormat/>
    <w:rsid w:val="00b149e1"/>
    <w:pPr>
      <w:spacing w:before="0" w:after="57"/>
      <w:ind w:left="1984" w:hanging="0"/>
    </w:pPr>
    <w:rPr/>
  </w:style>
  <w:style w:type="paragraph" w:styleId="911" w:customStyle="1">
    <w:name w:val="Оглавление 91"/>
    <w:basedOn w:val="Indexheading"/>
    <w:uiPriority w:val="39"/>
    <w:unhideWhenUsed/>
    <w:qFormat/>
    <w:rsid w:val="00b149e1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b149e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highlight w:val="white"/>
      <w:lang w:val="ru-RU" w:eastAsia="en-US" w:bidi="en-US"/>
    </w:rPr>
  </w:style>
  <w:style w:type="paragraph" w:styleId="42" w:customStyle="1">
    <w:name w:val="Заголовок4"/>
    <w:basedOn w:val="Normal"/>
    <w:next w:val="Style25"/>
    <w:qFormat/>
    <w:rsid w:val="00b149e1"/>
    <w:pPr>
      <w:keepNext w:val="true"/>
      <w:spacing w:before="240" w:after="120"/>
    </w:pPr>
    <w:rPr>
      <w:rFonts w:ascii="Liberation Sans" w:hAnsi="Liberation Sans" w:eastAsia="Microsoft YaHei"/>
      <w:szCs w:val="28"/>
    </w:rPr>
  </w:style>
  <w:style w:type="paragraph" w:styleId="Caption">
    <w:name w:val="caption"/>
    <w:basedOn w:val="Normal"/>
    <w:qFormat/>
    <w:rsid w:val="00b149e1"/>
    <w:pPr>
      <w:spacing w:before="120" w:after="120"/>
    </w:pPr>
    <w:rPr>
      <w:i/>
      <w:iCs/>
      <w:sz w:val="24"/>
      <w:szCs w:val="24"/>
    </w:rPr>
  </w:style>
  <w:style w:type="paragraph" w:styleId="43" w:customStyle="1">
    <w:name w:val="Указатель4"/>
    <w:basedOn w:val="Normal"/>
    <w:qFormat/>
    <w:rsid w:val="00b149e1"/>
    <w:pPr/>
    <w:rPr/>
  </w:style>
  <w:style w:type="paragraph" w:styleId="Style32" w:customStyle="1">
    <w:name w:val="Название Знак"/>
    <w:basedOn w:val="Normal"/>
    <w:next w:val="Style25"/>
    <w:link w:val="af6"/>
    <w:qFormat/>
    <w:rsid w:val="00b149e1"/>
    <w:pPr>
      <w:keepNext w:val="true"/>
      <w:spacing w:before="240" w:after="120"/>
    </w:pPr>
    <w:rPr>
      <w:rFonts w:ascii="Liberation Sans" w:hAnsi="Liberation Sans" w:eastAsia="Microsoft YaHei"/>
      <w:szCs w:val="28"/>
    </w:rPr>
  </w:style>
  <w:style w:type="paragraph" w:styleId="32" w:customStyle="1">
    <w:name w:val="Название объекта3"/>
    <w:basedOn w:val="Normal"/>
    <w:link w:val="SubtitleChar"/>
    <w:qFormat/>
    <w:rsid w:val="00b149e1"/>
    <w:pPr>
      <w:spacing w:before="120" w:after="120"/>
    </w:pPr>
    <w:rPr>
      <w:i/>
      <w:iCs/>
      <w:sz w:val="24"/>
      <w:szCs w:val="24"/>
    </w:rPr>
  </w:style>
  <w:style w:type="paragraph" w:styleId="33" w:customStyle="1">
    <w:name w:val="Указатель3"/>
    <w:basedOn w:val="Normal"/>
    <w:qFormat/>
    <w:rsid w:val="00b149e1"/>
    <w:pPr/>
    <w:rPr/>
  </w:style>
  <w:style w:type="paragraph" w:styleId="16" w:customStyle="1">
    <w:name w:val="Заголовок1"/>
    <w:basedOn w:val="Normal"/>
    <w:next w:val="Style25"/>
    <w:link w:val="Heading2Char"/>
    <w:qFormat/>
    <w:rsid w:val="00b149e1"/>
    <w:pPr>
      <w:jc w:val="center"/>
    </w:pPr>
    <w:rPr/>
  </w:style>
  <w:style w:type="paragraph" w:styleId="22" w:customStyle="1">
    <w:name w:val="Заголовок2"/>
    <w:basedOn w:val="16"/>
    <w:next w:val="Style25"/>
    <w:link w:val="Heading7Char"/>
    <w:qFormat/>
    <w:rsid w:val="00b149e1"/>
    <w:pPr/>
    <w:rPr>
      <w:b/>
      <w:bCs/>
      <w:sz w:val="56"/>
      <w:szCs w:val="56"/>
    </w:rPr>
  </w:style>
  <w:style w:type="paragraph" w:styleId="23" w:customStyle="1">
    <w:name w:val="Название объекта2"/>
    <w:basedOn w:val="Normal"/>
    <w:link w:val="71"/>
    <w:qFormat/>
    <w:rsid w:val="00b149e1"/>
    <w:pPr>
      <w:spacing w:before="120" w:after="120"/>
    </w:pPr>
    <w:rPr>
      <w:i/>
      <w:iCs/>
      <w:sz w:val="24"/>
      <w:szCs w:val="24"/>
    </w:rPr>
  </w:style>
  <w:style w:type="paragraph" w:styleId="24" w:customStyle="1">
    <w:name w:val="Указатель2"/>
    <w:basedOn w:val="Normal"/>
    <w:link w:val="Heading8Char"/>
    <w:qFormat/>
    <w:rsid w:val="00b149e1"/>
    <w:pPr/>
    <w:rPr/>
  </w:style>
  <w:style w:type="paragraph" w:styleId="17" w:customStyle="1">
    <w:name w:val="Указатель1"/>
    <w:basedOn w:val="Normal"/>
    <w:link w:val="Heading3Char"/>
    <w:qFormat/>
    <w:rsid w:val="00b149e1"/>
    <w:pPr/>
    <w:rPr/>
  </w:style>
  <w:style w:type="paragraph" w:styleId="Style33">
    <w:name w:val="Body Text Indent"/>
    <w:basedOn w:val="Normal"/>
    <w:rsid w:val="00b149e1"/>
    <w:pPr>
      <w:tabs>
        <w:tab w:val="clear" w:pos="720"/>
        <w:tab w:val="left" w:pos="0" w:leader="none"/>
      </w:tabs>
      <w:ind w:firstLine="709"/>
      <w:jc w:val="both"/>
    </w:pPr>
    <w:rPr/>
  </w:style>
  <w:style w:type="paragraph" w:styleId="ConsPlusNormal" w:customStyle="1">
    <w:name w:val="ConsPlusNormal"/>
    <w:qFormat/>
    <w:rsid w:val="00b149e1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8"/>
      <w:szCs w:val="22"/>
      <w:highlight w:val="white"/>
      <w:lang w:val="ru-RU" w:eastAsia="zh-CN" w:bidi="ar-SA"/>
    </w:rPr>
  </w:style>
  <w:style w:type="paragraph" w:styleId="Style34" w:customStyle="1">
    <w:name w:val="Таблицы (моноширинный)"/>
    <w:basedOn w:val="Normal"/>
    <w:next w:val="Normal"/>
    <w:qFormat/>
    <w:rsid w:val="00b149e1"/>
    <w:pPr>
      <w:widowControl w:val="false"/>
      <w:jc w:val="both"/>
    </w:pPr>
    <w:rPr>
      <w:rFonts w:ascii="Courier New" w:hAnsi="Courier New"/>
      <w:sz w:val="20"/>
    </w:rPr>
  </w:style>
  <w:style w:type="paragraph" w:styleId="ConsPlusNonformat" w:customStyle="1">
    <w:name w:val="ConsPlusNonformat"/>
    <w:qFormat/>
    <w:rsid w:val="00b149e1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8"/>
      <w:szCs w:val="22"/>
      <w:highlight w:val="white"/>
      <w:lang w:val="ru-RU" w:eastAsia="zh-CN" w:bidi="ar-SA"/>
    </w:rPr>
  </w:style>
  <w:style w:type="paragraph" w:styleId="ConsPlusTitle" w:customStyle="1">
    <w:name w:val="ConsPlusTitle"/>
    <w:qFormat/>
    <w:rsid w:val="00b149e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highlight w:val="white"/>
      <w:lang w:val="ru-RU" w:eastAsia="zh-CN" w:bidi="ar-SA"/>
    </w:rPr>
  </w:style>
  <w:style w:type="paragraph" w:styleId="25" w:customStyle="1">
    <w:name w:val="Обычный (веб)2"/>
    <w:basedOn w:val="Normal"/>
    <w:link w:val="81"/>
    <w:qFormat/>
    <w:rsid w:val="00b149e1"/>
    <w:pPr>
      <w:spacing w:before="280" w:after="280"/>
      <w:jc w:val="both"/>
    </w:pPr>
    <w:rPr>
      <w:sz w:val="24"/>
      <w:szCs w:val="24"/>
    </w:rPr>
  </w:style>
  <w:style w:type="paragraph" w:styleId="Materialtext1" w:customStyle="1">
    <w:name w:val="material_text1"/>
    <w:basedOn w:val="Normal"/>
    <w:qFormat/>
    <w:rsid w:val="00b149e1"/>
    <w:pPr>
      <w:spacing w:lineRule="atLeast" w:line="312" w:before="280" w:after="280"/>
      <w:jc w:val="both"/>
    </w:pPr>
    <w:rPr>
      <w:sz w:val="20"/>
    </w:rPr>
  </w:style>
  <w:style w:type="paragraph" w:styleId="Style35">
    <w:name w:val="Footnote Text"/>
    <w:basedOn w:val="Normal"/>
    <w:qFormat/>
    <w:rsid w:val="00b149e1"/>
    <w:pPr/>
    <w:rPr>
      <w:sz w:val="20"/>
    </w:rPr>
  </w:style>
  <w:style w:type="paragraph" w:styleId="Consplusnormal1" w:customStyle="1">
    <w:name w:val="consplusnormal"/>
    <w:basedOn w:val="Normal"/>
    <w:qFormat/>
    <w:rsid w:val="00b149e1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rsid w:val="00b149e1"/>
    <w:pPr>
      <w:spacing w:before="280" w:after="280"/>
    </w:pPr>
    <w:rPr>
      <w:sz w:val="24"/>
      <w:szCs w:val="24"/>
    </w:rPr>
  </w:style>
  <w:style w:type="paragraph" w:styleId="6" w:customStyle="1">
    <w:name w:val="Знак Знак6 Знак Знак Знак"/>
    <w:basedOn w:val="Normal"/>
    <w:qFormat/>
    <w:rsid w:val="00b149e1"/>
    <w:pPr>
      <w:spacing w:lineRule="exact" w:line="240" w:before="0" w:after="160"/>
    </w:pPr>
    <w:rPr>
      <w:rFonts w:ascii="Verdana" w:hAnsi="Verdana"/>
      <w:sz w:val="24"/>
      <w:szCs w:val="24"/>
      <w:lang w:val="en-US"/>
    </w:rPr>
  </w:style>
  <w:style w:type="paragraph" w:styleId="18" w:customStyle="1">
    <w:name w:val="Знак Знак1 Знак Знак Знак"/>
    <w:basedOn w:val="Normal"/>
    <w:qFormat/>
    <w:rsid w:val="00b149e1"/>
    <w:pPr>
      <w:spacing w:lineRule="exact" w:line="240" w:before="0" w:after="160"/>
    </w:pPr>
    <w:rPr>
      <w:rFonts w:ascii="Verdana" w:hAnsi="Verdana"/>
      <w:sz w:val="24"/>
      <w:szCs w:val="24"/>
      <w:lang w:val="en-US"/>
    </w:rPr>
  </w:style>
  <w:style w:type="paragraph" w:styleId="19" w:customStyle="1">
    <w:name w:val="Знак Знак1"/>
    <w:basedOn w:val="Normal"/>
    <w:link w:val="Heading4Char"/>
    <w:qFormat/>
    <w:rsid w:val="00b149e1"/>
    <w:pPr>
      <w:spacing w:lineRule="exact" w:line="240" w:before="0" w:after="160"/>
    </w:pPr>
    <w:rPr>
      <w:rFonts w:ascii="Verdana" w:hAnsi="Verdana"/>
      <w:sz w:val="24"/>
      <w:szCs w:val="24"/>
      <w:lang w:val="en-US"/>
    </w:rPr>
  </w:style>
  <w:style w:type="paragraph" w:styleId="Western" w:customStyle="1">
    <w:name w:val="western"/>
    <w:basedOn w:val="Normal"/>
    <w:qFormat/>
    <w:rsid w:val="00b149e1"/>
    <w:pPr>
      <w:spacing w:before="280" w:after="280"/>
    </w:pPr>
    <w:rPr>
      <w:sz w:val="24"/>
      <w:szCs w:val="24"/>
    </w:rPr>
  </w:style>
  <w:style w:type="paragraph" w:styleId="ConsPlusCell" w:customStyle="1">
    <w:name w:val="ConsPlusCell"/>
    <w:qFormat/>
    <w:rsid w:val="00b149e1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2"/>
      <w:highlight w:val="white"/>
      <w:lang w:val="ru-RU" w:eastAsia="zh-CN" w:bidi="ar-SA"/>
    </w:rPr>
  </w:style>
  <w:style w:type="paragraph" w:styleId="HTMLPreformatted">
    <w:name w:val="HTML Preformatted"/>
    <w:basedOn w:val="Normal"/>
    <w:qFormat/>
    <w:rsid w:val="00b149e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110" w:customStyle="1">
    <w:name w:val="Знак Знак1 Знак Знак Знак Знак Знак Знак"/>
    <w:basedOn w:val="Normal"/>
    <w:qFormat/>
    <w:rsid w:val="00b149e1"/>
    <w:pPr>
      <w:spacing w:lineRule="exact" w:line="240" w:before="0" w:after="160"/>
    </w:pPr>
    <w:rPr>
      <w:rFonts w:ascii="Verdana" w:hAnsi="Verdana"/>
      <w:sz w:val="24"/>
      <w:szCs w:val="24"/>
      <w:lang w:val="en-US"/>
    </w:rPr>
  </w:style>
  <w:style w:type="paragraph" w:styleId="112" w:customStyle="1">
    <w:name w:val="Знак Знак1 Знак Знак Знак Знак Знак Знак Знак"/>
    <w:basedOn w:val="Normal"/>
    <w:link w:val="Heading5Char"/>
    <w:qFormat/>
    <w:rsid w:val="00b149e1"/>
    <w:pPr>
      <w:spacing w:lineRule="exact" w:line="240" w:before="0" w:after="160"/>
    </w:pPr>
    <w:rPr>
      <w:rFonts w:ascii="Verdana" w:hAnsi="Verdana"/>
      <w:sz w:val="24"/>
      <w:szCs w:val="24"/>
      <w:lang w:val="en-US"/>
    </w:rPr>
  </w:style>
  <w:style w:type="paragraph" w:styleId="Style71" w:customStyle="1">
    <w:name w:val="Style7"/>
    <w:basedOn w:val="Normal"/>
    <w:qFormat/>
    <w:rsid w:val="00b149e1"/>
    <w:pPr>
      <w:widowControl w:val="false"/>
      <w:spacing w:lineRule="exact" w:line="360"/>
      <w:ind w:firstLine="725"/>
      <w:jc w:val="both"/>
    </w:pPr>
    <w:rPr>
      <w:sz w:val="24"/>
      <w:szCs w:val="24"/>
    </w:rPr>
  </w:style>
  <w:style w:type="paragraph" w:styleId="Materialtext11" w:customStyle="1">
    <w:name w:val="materialtext1"/>
    <w:basedOn w:val="Normal"/>
    <w:qFormat/>
    <w:rsid w:val="00b149e1"/>
    <w:pPr>
      <w:spacing w:before="280" w:after="280"/>
    </w:pPr>
    <w:rPr>
      <w:sz w:val="24"/>
      <w:szCs w:val="24"/>
    </w:rPr>
  </w:style>
  <w:style w:type="paragraph" w:styleId="113" w:customStyle="1">
    <w:name w:val="Знак Знак1 Знак Знак Знак Знак Знак Знак Знак Знак"/>
    <w:basedOn w:val="Normal"/>
    <w:qFormat/>
    <w:rsid w:val="00b149e1"/>
    <w:pPr>
      <w:spacing w:lineRule="exact" w:line="240" w:before="0" w:after="160"/>
    </w:pPr>
    <w:rPr>
      <w:rFonts w:ascii="Verdana" w:hAnsi="Verdana"/>
      <w:sz w:val="24"/>
      <w:szCs w:val="24"/>
      <w:lang w:val="en-US"/>
    </w:rPr>
  </w:style>
  <w:style w:type="paragraph" w:styleId="Formattext" w:customStyle="1">
    <w:name w:val="formattext"/>
    <w:qFormat/>
    <w:rsid w:val="00b149e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highlight w:val="white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b149e1"/>
    <w:pPr/>
    <w:rPr/>
  </w:style>
  <w:style w:type="paragraph" w:styleId="Style37" w:customStyle="1">
    <w:name w:val="Заголовок таблицы"/>
    <w:basedOn w:val="Style36"/>
    <w:qFormat/>
    <w:rsid w:val="00b149e1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b149e1"/>
    <w:pPr/>
    <w:rPr/>
  </w:style>
  <w:style w:type="paragraph" w:styleId="Style39" w:customStyle="1">
    <w:name w:val="Блочная цитата"/>
    <w:basedOn w:val="Normal"/>
    <w:qFormat/>
    <w:rsid w:val="00b149e1"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qFormat/>
    <w:rsid w:val="00b149e1"/>
    <w:pPr/>
    <w:rPr>
      <w:rFonts w:ascii="Segoe UI" w:hAnsi="Segoe UI"/>
      <w:sz w:val="18"/>
      <w:szCs w:val="18"/>
    </w:rPr>
  </w:style>
  <w:style w:type="paragraph" w:styleId="Style40">
    <w:name w:val="Header"/>
    <w:basedOn w:val="Style3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uiPriority w:val="59"/>
    <w:rsid w:val="00b149e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149e1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149e1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b149e1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b149e1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b149e1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b149e1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b149e1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b149e1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b149e1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b149e1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rsid w:val="00b149e1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149e1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149e1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149e1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149e1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149e1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149e1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149e1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149e1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149e1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149e1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149e1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149e1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149e1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149e1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149e1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149e1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149e1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149e1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149e1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149e1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149e1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149e1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b149e1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b149e1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b149e1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b149e1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b149e1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b149e1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b149e1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b149e1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b149e1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b149e1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b149e1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b149e1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b149e1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14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149e1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149e1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149e1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149e1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149e1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149e1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149e1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149e1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b149e1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b149e1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b149e1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b149e1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b149e1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b149e1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rsid w:val="00b149e1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149e1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149e1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149e1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149e1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149e1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149e1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149e1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149e1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149e1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149e1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149e1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149e1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149e1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149e1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b149e1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b149e1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b149e1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b149e1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b149e1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b149e1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b149e1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b149e1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b149e1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b149e1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b149e1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b149e1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b149e1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149e1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149e1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b149e1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b149e1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b149e1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b149e1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b149e1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b149e1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5B21EF39FFF343A1A70C1ECA6A1E49308CD1E49087BCCA0BD31619972499E6D99BB3C61F39E2CA34967F8rF01N" TargetMode="External"/><Relationship Id="rId3" Type="http://schemas.openxmlformats.org/officeDocument/2006/relationships/hyperlink" Target="http://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LibreOffice/6.3.5.2$Linux_X86_64 LibreOffice_project/dd0751754f11728f69b42ee2af66670068624673</Application>
  <Pages>23</Pages>
  <Words>5700</Words>
  <Characters>45531</Characters>
  <CharactersWithSpaces>51213</CharactersWithSpaces>
  <Paragraphs>301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2021-06-14T23:13:00Z</dcterms:created>
  <dc:creator/>
  <dc:description/>
  <dc:language>ru-RU</dc:language>
  <cp:lastModifiedBy/>
  <dcterms:modified xsi:type="dcterms:W3CDTF">2021-06-22T10:49:38Z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